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9A13B" w14:textId="181A02A6" w:rsidR="00226288" w:rsidRPr="00226288" w:rsidRDefault="00226288" w:rsidP="00787FFC">
      <w:pPr>
        <w:spacing w:line="480" w:lineRule="auto"/>
        <w:contextualSpacing/>
      </w:pPr>
      <w:r w:rsidRPr="00226288">
        <w:t xml:space="preserve">An </w:t>
      </w:r>
      <w:r w:rsidR="00081AC4">
        <w:t>Image</w:t>
      </w:r>
      <w:r w:rsidRPr="00226288">
        <w:t xml:space="preserve"> of the Future – Entity </w:t>
      </w:r>
      <w:r w:rsidR="00081AC4">
        <w:t>1</w:t>
      </w:r>
      <w:r w:rsidRPr="00226288">
        <w:t xml:space="preserve"> and Regional Service District </w:t>
      </w:r>
      <w:r w:rsidR="00081AC4">
        <w:t>1</w:t>
      </w:r>
    </w:p>
    <w:p w14:paraId="70CB123F" w14:textId="2C4771B1" w:rsidR="00226288" w:rsidRPr="00226288" w:rsidRDefault="00226288" w:rsidP="00226288">
      <w:pPr>
        <w:rPr>
          <w:rFonts w:eastAsia="Times New Roman"/>
        </w:rPr>
      </w:pPr>
      <w:r w:rsidRPr="00226288">
        <w:rPr>
          <w:rFonts w:eastAsia="Times New Roman"/>
        </w:rPr>
        <w:t xml:space="preserve">To illustrate the benefits of this new framework, take the example of Entity </w:t>
      </w:r>
      <w:r w:rsidR="00081AC4">
        <w:rPr>
          <w:rFonts w:eastAsia="Times New Roman"/>
        </w:rPr>
        <w:t>1,</w:t>
      </w:r>
      <w:r w:rsidRPr="00226288">
        <w:rPr>
          <w:rFonts w:eastAsia="Times New Roman"/>
        </w:rPr>
        <w:t xml:space="preserve"> the municipality </w:t>
      </w:r>
      <w:r w:rsidR="00B433E0">
        <w:rPr>
          <w:rFonts w:eastAsia="Times New Roman"/>
        </w:rPr>
        <w:t>covering New Brunswick’s panhandle</w:t>
      </w:r>
      <w:r w:rsidRPr="00226288">
        <w:rPr>
          <w:rFonts w:eastAsia="Times New Roman"/>
        </w:rPr>
        <w:t xml:space="preserve">. For the duration of this discussion the municipality shall be referred to as Entity </w:t>
      </w:r>
      <w:r w:rsidR="00224499">
        <w:rPr>
          <w:rFonts w:eastAsia="Times New Roman"/>
        </w:rPr>
        <w:t>1</w:t>
      </w:r>
      <w:r w:rsidRPr="00226288">
        <w:rPr>
          <w:rFonts w:eastAsia="Times New Roman"/>
        </w:rPr>
        <w:t xml:space="preserve">, as while the municipality could conceivably adopt </w:t>
      </w:r>
      <w:r w:rsidR="00145AFD">
        <w:rPr>
          <w:rFonts w:eastAsia="Times New Roman"/>
        </w:rPr>
        <w:t>Haut-</w:t>
      </w:r>
      <w:r w:rsidR="00F06AB9">
        <w:rPr>
          <w:rFonts w:eastAsia="Times New Roman"/>
        </w:rPr>
        <w:t>Madawaska</w:t>
      </w:r>
      <w:r w:rsidR="00145AFD">
        <w:rPr>
          <w:rFonts w:eastAsia="Times New Roman"/>
        </w:rPr>
        <w:t xml:space="preserve"> or Lac B</w:t>
      </w:r>
      <w:r w:rsidR="00B433E0">
        <w:rPr>
          <w:rFonts w:eastAsia="Times New Roman"/>
        </w:rPr>
        <w:t>aker</w:t>
      </w:r>
      <w:r w:rsidRPr="00226288">
        <w:rPr>
          <w:rFonts w:eastAsia="Times New Roman"/>
        </w:rPr>
        <w:t>, the naming of the 53 municipal entities remains a task for the citizens of each entity.</w:t>
      </w:r>
      <w:r w:rsidRPr="00226288">
        <w:rPr>
          <w:rFonts w:eastAsia="Times New Roman"/>
          <w:vertAlign w:val="superscript"/>
        </w:rPr>
        <w:footnoteReference w:id="1"/>
      </w:r>
      <w:r w:rsidRPr="00226288">
        <w:rPr>
          <w:rFonts w:eastAsia="Times New Roman"/>
        </w:rPr>
        <w:t xml:space="preserve"> Leaving the name of each entity undetermined is an important measure for the development of sustainable new municipal identities to compliment those of the existing towns, villages, and LSDs.</w:t>
      </w:r>
    </w:p>
    <w:p w14:paraId="2FE0DCBA" w14:textId="3318F709" w:rsidR="00226288" w:rsidRPr="00226288" w:rsidRDefault="00AC5DB2" w:rsidP="00226288">
      <w:pPr>
        <w:rPr>
          <w:b/>
          <w:bCs/>
        </w:rPr>
      </w:pPr>
      <w:r w:rsidRPr="00226288">
        <w:rPr>
          <w:noProof/>
          <w:lang w:val="en-CA" w:eastAsia="en-CA"/>
        </w:rPr>
        <w:drawing>
          <wp:anchor distT="0" distB="0" distL="114300" distR="114300" simplePos="0" relativeHeight="251660288" behindDoc="0" locked="0" layoutInCell="1" allowOverlap="1" wp14:anchorId="57FA4B48" wp14:editId="5C947A57">
            <wp:simplePos x="0" y="0"/>
            <wp:positionH relativeFrom="column">
              <wp:posOffset>-101600</wp:posOffset>
            </wp:positionH>
            <wp:positionV relativeFrom="paragraph">
              <wp:posOffset>164465</wp:posOffset>
            </wp:positionV>
            <wp:extent cx="3210560" cy="4003040"/>
            <wp:effectExtent l="0" t="0" r="2540" b="0"/>
            <wp:wrapThrough wrapText="bothSides">
              <wp:wrapPolygon edited="0">
                <wp:start x="940" y="0"/>
                <wp:lineTo x="598" y="274"/>
                <wp:lineTo x="342" y="754"/>
                <wp:lineTo x="342" y="20970"/>
                <wp:lineTo x="940" y="21518"/>
                <wp:lineTo x="21019" y="21518"/>
                <wp:lineTo x="21104" y="21449"/>
                <wp:lineTo x="21532" y="21038"/>
                <wp:lineTo x="21532" y="617"/>
                <wp:lineTo x="21361" y="274"/>
                <wp:lineTo x="21019" y="0"/>
                <wp:lineTo x="940" y="0"/>
              </wp:wrapPolygon>
            </wp:wrapThrough>
            <wp:docPr id="1732244913" name="Picture 1732244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869" t="32208" r="55129" b="4432"/>
                    <a:stretch/>
                  </pic:blipFill>
                  <pic:spPr bwMode="auto">
                    <a:xfrm>
                      <a:off x="0" y="0"/>
                      <a:ext cx="3210560" cy="400304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6288" w:rsidRPr="00226288">
        <w:rPr>
          <w:rFonts w:eastAsia="Times New Roman"/>
          <w:b/>
          <w:bCs/>
        </w:rPr>
        <w:t>Geographic Boundaries</w:t>
      </w:r>
    </w:p>
    <w:p w14:paraId="58689277" w14:textId="140E17AC" w:rsidR="00683388" w:rsidRDefault="006649CB" w:rsidP="00226288">
      <w:pPr>
        <w:rPr>
          <w:szCs w:val="24"/>
        </w:rPr>
      </w:pPr>
      <w:r>
        <w:rPr>
          <w:szCs w:val="24"/>
        </w:rPr>
        <w:t xml:space="preserve">Entity 1 would </w:t>
      </w:r>
      <w:r w:rsidR="00870648">
        <w:rPr>
          <w:szCs w:val="24"/>
        </w:rPr>
        <w:t>border both Quebe</w:t>
      </w:r>
      <w:r w:rsidR="0024434B">
        <w:rPr>
          <w:szCs w:val="24"/>
        </w:rPr>
        <w:t>c</w:t>
      </w:r>
      <w:r w:rsidR="004435A9">
        <w:rPr>
          <w:szCs w:val="24"/>
        </w:rPr>
        <w:t xml:space="preserve"> and the United States and run all the way to Edmundston. </w:t>
      </w:r>
      <w:r w:rsidR="00870648">
        <w:rPr>
          <w:szCs w:val="24"/>
        </w:rPr>
        <w:t xml:space="preserve"> </w:t>
      </w:r>
      <w:r w:rsidR="007639B9">
        <w:rPr>
          <w:szCs w:val="24"/>
        </w:rPr>
        <w:t xml:space="preserve">It would </w:t>
      </w:r>
      <w:r>
        <w:rPr>
          <w:szCs w:val="24"/>
        </w:rPr>
        <w:t>be comprised of the Village of Lac Baker and the Rural Community of Haut-Madawaska. Prior to 2017</w:t>
      </w:r>
      <w:r w:rsidR="006D7213">
        <w:rPr>
          <w:szCs w:val="24"/>
        </w:rPr>
        <w:t>,</w:t>
      </w:r>
      <w:r w:rsidR="00C55B72">
        <w:rPr>
          <w:szCs w:val="24"/>
        </w:rPr>
        <w:t xml:space="preserve"> the area also included the</w:t>
      </w:r>
      <w:r w:rsidR="006F1B6E">
        <w:rPr>
          <w:szCs w:val="24"/>
        </w:rPr>
        <w:t xml:space="preserve"> villages of St. Hilaire, Baker Brook</w:t>
      </w:r>
      <w:r w:rsidR="009A54EE">
        <w:rPr>
          <w:szCs w:val="24"/>
        </w:rPr>
        <w:t>, Lac Baker, Clair, Saint-Francois de Madawaska</w:t>
      </w:r>
      <w:r w:rsidR="00526874">
        <w:rPr>
          <w:szCs w:val="24"/>
        </w:rPr>
        <w:t xml:space="preserve">, and the LSDs of </w:t>
      </w:r>
      <w:r w:rsidR="000D0C37">
        <w:rPr>
          <w:szCs w:val="24"/>
        </w:rPr>
        <w:t xml:space="preserve">Saint-Hilaire, </w:t>
      </w:r>
      <w:r w:rsidR="00526874">
        <w:rPr>
          <w:szCs w:val="24"/>
        </w:rPr>
        <w:t>Baker Brook, Lac Baker, Clair,</w:t>
      </w:r>
      <w:r w:rsidR="00C55B72">
        <w:rPr>
          <w:szCs w:val="24"/>
        </w:rPr>
        <w:t xml:space="preserve"> </w:t>
      </w:r>
      <w:proofErr w:type="spellStart"/>
      <w:r w:rsidR="00C55B72">
        <w:rPr>
          <w:szCs w:val="24"/>
        </w:rPr>
        <w:t>Madwaska</w:t>
      </w:r>
      <w:proofErr w:type="spellEnd"/>
      <w:r w:rsidR="00526874">
        <w:rPr>
          <w:szCs w:val="24"/>
        </w:rPr>
        <w:t xml:space="preserve"> </w:t>
      </w:r>
      <w:r w:rsidR="000D0C37">
        <w:rPr>
          <w:szCs w:val="24"/>
        </w:rPr>
        <w:t xml:space="preserve">and Saint-Francois. </w:t>
      </w:r>
      <w:r w:rsidR="00C55B72">
        <w:rPr>
          <w:szCs w:val="24"/>
        </w:rPr>
        <w:t xml:space="preserve">However, these local governance entities </w:t>
      </w:r>
      <w:r w:rsidR="00151EBE">
        <w:rPr>
          <w:szCs w:val="24"/>
        </w:rPr>
        <w:t xml:space="preserve">decided to amalgamate into the Rural Community of Haut-Madawaska in 2016, </w:t>
      </w:r>
      <w:r w:rsidR="007639B9">
        <w:rPr>
          <w:szCs w:val="24"/>
        </w:rPr>
        <w:t xml:space="preserve">largely accomplishing the </w:t>
      </w:r>
      <w:r w:rsidR="00C45148">
        <w:rPr>
          <w:szCs w:val="24"/>
        </w:rPr>
        <w:t xml:space="preserve">geographic recommendations outlined within the 2008 Finn report. </w:t>
      </w:r>
    </w:p>
    <w:p w14:paraId="739F74CC" w14:textId="78543819" w:rsidR="00226288" w:rsidRPr="005B2FE9" w:rsidRDefault="00C45148" w:rsidP="00226288">
      <w:pPr>
        <w:rPr>
          <w:szCs w:val="24"/>
        </w:rPr>
      </w:pPr>
      <w:r>
        <w:rPr>
          <w:szCs w:val="24"/>
        </w:rPr>
        <w:t xml:space="preserve">The </w:t>
      </w:r>
      <w:r w:rsidR="00661339">
        <w:rPr>
          <w:szCs w:val="24"/>
        </w:rPr>
        <w:t>only remaining community not now integrated into the Rural Community</w:t>
      </w:r>
      <w:r w:rsidR="00360F54">
        <w:rPr>
          <w:szCs w:val="24"/>
        </w:rPr>
        <w:t xml:space="preserve"> is</w:t>
      </w:r>
      <w:r w:rsidR="00B11890">
        <w:rPr>
          <w:szCs w:val="24"/>
        </w:rPr>
        <w:t xml:space="preserve"> the Village of Lac Baker</w:t>
      </w:r>
      <w:r w:rsidR="00360F54">
        <w:rPr>
          <w:szCs w:val="24"/>
        </w:rPr>
        <w:t>. The Village</w:t>
      </w:r>
      <w:r w:rsidR="00B11890">
        <w:rPr>
          <w:szCs w:val="24"/>
        </w:rPr>
        <w:t xml:space="preserve"> was not initially included in plans for the Rural Community</w:t>
      </w:r>
      <w:r w:rsidR="00360F54">
        <w:rPr>
          <w:szCs w:val="24"/>
        </w:rPr>
        <w:t>, though a</w:t>
      </w:r>
      <w:r w:rsidR="00151EBE">
        <w:rPr>
          <w:szCs w:val="24"/>
        </w:rPr>
        <w:t xml:space="preserve"> plebiscite </w:t>
      </w:r>
      <w:r w:rsidR="009716CD">
        <w:rPr>
          <w:szCs w:val="24"/>
        </w:rPr>
        <w:t xml:space="preserve">was held in 2017 </w:t>
      </w:r>
      <w:r w:rsidR="00683388">
        <w:rPr>
          <w:szCs w:val="24"/>
        </w:rPr>
        <w:t xml:space="preserve">to </w:t>
      </w:r>
      <w:r w:rsidR="00360F54">
        <w:rPr>
          <w:szCs w:val="24"/>
        </w:rPr>
        <w:t xml:space="preserve">determine the community’s interest in </w:t>
      </w:r>
      <w:r w:rsidR="00683388">
        <w:rPr>
          <w:szCs w:val="24"/>
        </w:rPr>
        <w:t>incorporat</w:t>
      </w:r>
      <w:r w:rsidR="00360F54">
        <w:rPr>
          <w:szCs w:val="24"/>
        </w:rPr>
        <w:t>ing</w:t>
      </w:r>
      <w:r w:rsidR="00683388">
        <w:rPr>
          <w:szCs w:val="24"/>
        </w:rPr>
        <w:t xml:space="preserve"> the village into Haut-Madawaska</w:t>
      </w:r>
      <w:r w:rsidR="00360F54">
        <w:rPr>
          <w:szCs w:val="24"/>
        </w:rPr>
        <w:t>. The</w:t>
      </w:r>
      <w:r w:rsidR="00683388">
        <w:rPr>
          <w:szCs w:val="24"/>
        </w:rPr>
        <w:t xml:space="preserve"> vote was </w:t>
      </w:r>
      <w:r w:rsidR="00002B96">
        <w:rPr>
          <w:szCs w:val="24"/>
        </w:rPr>
        <w:t xml:space="preserve">unfortunately </w:t>
      </w:r>
      <w:r w:rsidR="00683388">
        <w:rPr>
          <w:szCs w:val="24"/>
        </w:rPr>
        <w:t>defeated in Lac Baker.</w:t>
      </w:r>
    </w:p>
    <w:p w14:paraId="4750B350" w14:textId="48AF5DB1" w:rsidR="00226288" w:rsidRPr="00226288" w:rsidRDefault="00226288" w:rsidP="00226288">
      <w:pPr>
        <w:rPr>
          <w:rFonts w:eastAsia="Times New Roman"/>
          <w:b/>
          <w:bCs/>
        </w:rPr>
      </w:pPr>
      <w:r w:rsidRPr="00226288">
        <w:rPr>
          <w:rFonts w:eastAsia="Times New Roman"/>
          <w:b/>
          <w:bCs/>
        </w:rPr>
        <w:t>Demographic Base</w:t>
      </w:r>
    </w:p>
    <w:p w14:paraId="2A791A3D" w14:textId="77777777" w:rsidR="003644C1" w:rsidRDefault="00226288" w:rsidP="00226288">
      <w:pPr>
        <w:rPr>
          <w:szCs w:val="24"/>
        </w:rPr>
      </w:pPr>
      <w:r w:rsidRPr="00226288">
        <w:rPr>
          <w:rFonts w:eastAsia="Times New Roman"/>
          <w:color w:val="000000" w:themeColor="text1"/>
          <w:szCs w:val="24"/>
        </w:rPr>
        <w:t>The total population of the municipal</w:t>
      </w:r>
      <w:r w:rsidRPr="00226288">
        <w:rPr>
          <w:szCs w:val="24"/>
        </w:rPr>
        <w:t xml:space="preserve">ity </w:t>
      </w:r>
      <w:r w:rsidRPr="00226288">
        <w:rPr>
          <w:rFonts w:eastAsia="Times New Roman"/>
          <w:color w:val="000000" w:themeColor="text1"/>
          <w:szCs w:val="24"/>
        </w:rPr>
        <w:t xml:space="preserve">would be approximately </w:t>
      </w:r>
      <w:r w:rsidR="00B53197">
        <w:rPr>
          <w:szCs w:val="24"/>
        </w:rPr>
        <w:t>4400</w:t>
      </w:r>
      <w:r w:rsidRPr="00226288">
        <w:rPr>
          <w:szCs w:val="24"/>
        </w:rPr>
        <w:t xml:space="preserve"> – down from </w:t>
      </w:r>
      <w:r w:rsidR="00B53197">
        <w:rPr>
          <w:szCs w:val="24"/>
        </w:rPr>
        <w:t>4700</w:t>
      </w:r>
      <w:r w:rsidRPr="00226288">
        <w:rPr>
          <w:szCs w:val="24"/>
        </w:rPr>
        <w:t xml:space="preserve"> in 2011.</w:t>
      </w:r>
      <w:r w:rsidRPr="00226288">
        <w:rPr>
          <w:rFonts w:eastAsia="Times New Roman"/>
          <w:color w:val="000000" w:themeColor="text1"/>
          <w:szCs w:val="24"/>
        </w:rPr>
        <w:t xml:space="preserve"> In accordance with the </w:t>
      </w:r>
      <w:r w:rsidRPr="00226288">
        <w:rPr>
          <w:rFonts w:eastAsia="Times New Roman"/>
          <w:i/>
          <w:iCs/>
          <w:color w:val="000000" w:themeColor="text1"/>
          <w:szCs w:val="24"/>
        </w:rPr>
        <w:t>Official Languages Act</w:t>
      </w:r>
      <w:r w:rsidRPr="00226288">
        <w:rPr>
          <w:rFonts w:eastAsia="Times New Roman"/>
          <w:color w:val="000000" w:themeColor="text1"/>
          <w:szCs w:val="24"/>
        </w:rPr>
        <w:t xml:space="preserve">, Entity </w:t>
      </w:r>
      <w:r w:rsidR="00234790">
        <w:rPr>
          <w:rFonts w:eastAsia="Times New Roman"/>
          <w:color w:val="000000" w:themeColor="text1"/>
          <w:szCs w:val="24"/>
        </w:rPr>
        <w:t>1</w:t>
      </w:r>
      <w:r w:rsidRPr="00226288">
        <w:rPr>
          <w:rFonts w:eastAsia="Times New Roman"/>
          <w:color w:val="000000" w:themeColor="text1"/>
          <w:szCs w:val="24"/>
        </w:rPr>
        <w:t xml:space="preserve"> would </w:t>
      </w:r>
      <w:r w:rsidR="003219CB">
        <w:rPr>
          <w:rFonts w:eastAsia="Times New Roman"/>
          <w:color w:val="000000" w:themeColor="text1"/>
          <w:szCs w:val="24"/>
        </w:rPr>
        <w:t xml:space="preserve">not </w:t>
      </w:r>
      <w:r w:rsidRPr="00226288">
        <w:rPr>
          <w:rFonts w:eastAsia="Times New Roman"/>
          <w:color w:val="000000" w:themeColor="text1"/>
          <w:szCs w:val="24"/>
        </w:rPr>
        <w:t xml:space="preserve">be required to operate bilingually because </w:t>
      </w:r>
      <w:r w:rsidR="003219CB">
        <w:rPr>
          <w:rFonts w:eastAsia="Times New Roman"/>
          <w:color w:val="000000" w:themeColor="text1"/>
          <w:szCs w:val="24"/>
        </w:rPr>
        <w:t>nearly 95% of the residents are Francophone</w:t>
      </w:r>
      <w:r w:rsidR="0009529B">
        <w:rPr>
          <w:rFonts w:eastAsia="Times New Roman"/>
          <w:color w:val="000000" w:themeColor="text1"/>
          <w:szCs w:val="24"/>
        </w:rPr>
        <w:t xml:space="preserve">s. </w:t>
      </w:r>
      <w:r w:rsidRPr="00226288">
        <w:rPr>
          <w:rFonts w:eastAsia="Times New Roman"/>
          <w:color w:val="000000" w:themeColor="text1"/>
          <w:szCs w:val="24"/>
        </w:rPr>
        <w:t xml:space="preserve"> </w:t>
      </w:r>
    </w:p>
    <w:p w14:paraId="73CBCD6E" w14:textId="717AD54C" w:rsidR="00674839" w:rsidRDefault="003971FE" w:rsidP="00E621D5">
      <w:pPr>
        <w:spacing w:line="240" w:lineRule="auto"/>
        <w:rPr>
          <w:rFonts w:eastAsia="Times New Roman"/>
          <w:color w:val="000000" w:themeColor="text1"/>
          <w:szCs w:val="24"/>
        </w:rPr>
      </w:pPr>
      <w:r>
        <w:rPr>
          <w:rFonts w:eastAsia="Times New Roman"/>
          <w:color w:val="000000" w:themeColor="text1"/>
          <w:szCs w:val="24"/>
        </w:rPr>
        <w:lastRenderedPageBreak/>
        <w:t>As has been witnessed since the 2017 amalgamation of the majority of the proposed Entity 1, t</w:t>
      </w:r>
      <w:r w:rsidR="00226288" w:rsidRPr="00226288">
        <w:rPr>
          <w:rFonts w:eastAsia="Times New Roman"/>
          <w:color w:val="000000" w:themeColor="text1"/>
          <w:szCs w:val="24"/>
        </w:rPr>
        <w:t>he unification of contiguous communities</w:t>
      </w:r>
      <w:r>
        <w:rPr>
          <w:rFonts w:eastAsia="Times New Roman"/>
          <w:color w:val="000000" w:themeColor="text1"/>
          <w:szCs w:val="24"/>
        </w:rPr>
        <w:t xml:space="preserve"> can</w:t>
      </w:r>
      <w:r w:rsidR="00226288" w:rsidRPr="00226288">
        <w:rPr>
          <w:rFonts w:eastAsia="Times New Roman"/>
          <w:color w:val="000000" w:themeColor="text1"/>
          <w:szCs w:val="24"/>
        </w:rPr>
        <w:t xml:space="preserve"> improve the state of local democratic institutions. </w:t>
      </w:r>
      <w:r w:rsidR="000216E9">
        <w:rPr>
          <w:rFonts w:eastAsia="Times New Roman"/>
          <w:color w:val="000000" w:themeColor="text1"/>
          <w:szCs w:val="24"/>
        </w:rPr>
        <w:t>Admittedly, t</w:t>
      </w:r>
      <w:r>
        <w:rPr>
          <w:rFonts w:eastAsia="Times New Roman"/>
          <w:color w:val="000000" w:themeColor="text1"/>
          <w:szCs w:val="24"/>
        </w:rPr>
        <w:t xml:space="preserve">hose </w:t>
      </w:r>
      <w:r w:rsidR="004F3B3D">
        <w:rPr>
          <w:rFonts w:eastAsia="Times New Roman"/>
          <w:color w:val="000000" w:themeColor="text1"/>
          <w:szCs w:val="24"/>
        </w:rPr>
        <w:t>municipalities</w:t>
      </w:r>
      <w:r>
        <w:rPr>
          <w:rFonts w:eastAsia="Times New Roman"/>
          <w:color w:val="000000" w:themeColor="text1"/>
          <w:szCs w:val="24"/>
        </w:rPr>
        <w:t xml:space="preserve"> which </w:t>
      </w:r>
      <w:r w:rsidR="009459DC">
        <w:rPr>
          <w:rFonts w:eastAsia="Times New Roman"/>
          <w:color w:val="000000" w:themeColor="text1"/>
          <w:szCs w:val="24"/>
        </w:rPr>
        <w:t>were able to hold</w:t>
      </w:r>
      <w:r>
        <w:rPr>
          <w:rFonts w:eastAsia="Times New Roman"/>
          <w:color w:val="000000" w:themeColor="text1"/>
          <w:szCs w:val="24"/>
        </w:rPr>
        <w:t xml:space="preserve"> contested elections in the area in the 2016 quadrennial election cycle </w:t>
      </w:r>
      <w:r w:rsidR="00C64DB2">
        <w:rPr>
          <w:rFonts w:eastAsia="Times New Roman"/>
          <w:color w:val="000000" w:themeColor="text1"/>
          <w:szCs w:val="24"/>
        </w:rPr>
        <w:t xml:space="preserve">had impressive voter turnouts. </w:t>
      </w:r>
      <w:r w:rsidR="005F7078">
        <w:rPr>
          <w:rFonts w:eastAsia="Times New Roman"/>
          <w:color w:val="000000" w:themeColor="text1"/>
          <w:szCs w:val="24"/>
        </w:rPr>
        <w:t xml:space="preserve">In 2016, </w:t>
      </w:r>
      <w:r w:rsidR="00DE4CF7">
        <w:rPr>
          <w:rFonts w:eastAsia="Times New Roman"/>
          <w:color w:val="000000" w:themeColor="text1"/>
          <w:szCs w:val="24"/>
        </w:rPr>
        <w:t xml:space="preserve">Lac Baker </w:t>
      </w:r>
      <w:r w:rsidR="00761FDC">
        <w:rPr>
          <w:rFonts w:eastAsia="Times New Roman"/>
          <w:color w:val="000000" w:themeColor="text1"/>
          <w:szCs w:val="24"/>
        </w:rPr>
        <w:t>reported the second</w:t>
      </w:r>
      <w:r w:rsidR="00DE4CF7">
        <w:rPr>
          <w:rFonts w:eastAsia="Times New Roman"/>
          <w:color w:val="000000" w:themeColor="text1"/>
          <w:szCs w:val="24"/>
        </w:rPr>
        <w:t xml:space="preserve"> highest </w:t>
      </w:r>
      <w:r w:rsidR="00E64543">
        <w:rPr>
          <w:rFonts w:eastAsia="Times New Roman"/>
          <w:color w:val="000000" w:themeColor="text1"/>
          <w:szCs w:val="24"/>
        </w:rPr>
        <w:t>municipal</w:t>
      </w:r>
      <w:r w:rsidR="00DE4CF7">
        <w:rPr>
          <w:rFonts w:eastAsia="Times New Roman"/>
          <w:color w:val="000000" w:themeColor="text1"/>
          <w:szCs w:val="24"/>
        </w:rPr>
        <w:t xml:space="preserve"> voter turnout </w:t>
      </w:r>
      <w:r w:rsidR="00E64543">
        <w:rPr>
          <w:rFonts w:eastAsia="Times New Roman"/>
          <w:color w:val="000000" w:themeColor="text1"/>
          <w:szCs w:val="24"/>
        </w:rPr>
        <w:t>in the province with 79</w:t>
      </w:r>
      <w:r w:rsidR="009A6210">
        <w:rPr>
          <w:rFonts w:eastAsia="Times New Roman"/>
          <w:color w:val="000000" w:themeColor="text1"/>
          <w:szCs w:val="24"/>
        </w:rPr>
        <w:t xml:space="preserve">.61% of residents casting a ballot. </w:t>
      </w:r>
      <w:r w:rsidR="008C05F6">
        <w:rPr>
          <w:rFonts w:eastAsia="Times New Roman"/>
          <w:color w:val="000000" w:themeColor="text1"/>
          <w:szCs w:val="24"/>
        </w:rPr>
        <w:t>However, t</w:t>
      </w:r>
      <w:r w:rsidR="00E621D5">
        <w:rPr>
          <w:rFonts w:eastAsia="Times New Roman"/>
          <w:color w:val="000000" w:themeColor="text1"/>
          <w:szCs w:val="24"/>
        </w:rPr>
        <w:t xml:space="preserve">he challenge in the proposed Entity 1 – and in </w:t>
      </w:r>
      <w:r w:rsidR="008C05F6">
        <w:rPr>
          <w:rFonts w:eastAsia="Times New Roman"/>
          <w:color w:val="000000" w:themeColor="text1"/>
          <w:szCs w:val="24"/>
        </w:rPr>
        <w:t xml:space="preserve">the north of the province generally – is not lower voter turnout but a shrinking pool of potential candidates. Over the last two quadrennial election cycles, every municipality in the proposed Entity 1 had </w:t>
      </w:r>
      <w:r w:rsidR="00C51E4B">
        <w:rPr>
          <w:rFonts w:eastAsia="Times New Roman"/>
          <w:color w:val="000000" w:themeColor="text1"/>
          <w:szCs w:val="24"/>
        </w:rPr>
        <w:t>an election by acclamation</w:t>
      </w:r>
      <w:r w:rsidR="00F5198F">
        <w:rPr>
          <w:rFonts w:eastAsia="Times New Roman"/>
          <w:color w:val="000000" w:themeColor="text1"/>
          <w:szCs w:val="24"/>
        </w:rPr>
        <w:t>, including Lac Baker</w:t>
      </w:r>
      <w:r w:rsidR="00C51E4B">
        <w:rPr>
          <w:rFonts w:eastAsia="Times New Roman"/>
          <w:color w:val="000000" w:themeColor="text1"/>
          <w:szCs w:val="24"/>
        </w:rPr>
        <w:t xml:space="preserve">. </w:t>
      </w:r>
    </w:p>
    <w:tbl>
      <w:tblPr>
        <w:tblpPr w:leftFromText="180" w:rightFromText="180" w:vertAnchor="text" w:tblpY="1"/>
        <w:tblOverlap w:val="never"/>
        <w:tblW w:w="9360" w:type="dxa"/>
        <w:tblLook w:val="04A0" w:firstRow="1" w:lastRow="0" w:firstColumn="1" w:lastColumn="0" w:noHBand="0" w:noVBand="1"/>
      </w:tblPr>
      <w:tblGrid>
        <w:gridCol w:w="3891"/>
        <w:gridCol w:w="1826"/>
        <w:gridCol w:w="1826"/>
        <w:gridCol w:w="1817"/>
      </w:tblGrid>
      <w:tr w:rsidR="006C4AF4" w:rsidRPr="006C4AF4" w14:paraId="62FEC8CA" w14:textId="77777777" w:rsidTr="00E31483">
        <w:trPr>
          <w:trHeight w:val="320"/>
        </w:trPr>
        <w:tc>
          <w:tcPr>
            <w:tcW w:w="9360" w:type="dxa"/>
            <w:gridSpan w:val="4"/>
            <w:tcBorders>
              <w:top w:val="nil"/>
              <w:left w:val="nil"/>
              <w:bottom w:val="single" w:sz="8" w:space="0" w:color="BFBFBF"/>
              <w:right w:val="nil"/>
            </w:tcBorders>
            <w:shd w:val="clear" w:color="auto" w:fill="auto"/>
            <w:noWrap/>
            <w:vAlign w:val="center"/>
            <w:hideMark/>
          </w:tcPr>
          <w:p w14:paraId="38FD2846" w14:textId="77777777" w:rsidR="006C4AF4" w:rsidRPr="006C4AF4" w:rsidRDefault="006C4AF4" w:rsidP="00E31483">
            <w:pPr>
              <w:spacing w:after="0" w:line="240" w:lineRule="auto"/>
              <w:rPr>
                <w:rFonts w:eastAsia="Times New Roman"/>
                <w:b/>
                <w:bCs/>
                <w:color w:val="000000"/>
                <w:szCs w:val="24"/>
                <w:lang w:val="en-CA" w:eastAsia="en-CA"/>
              </w:rPr>
            </w:pPr>
            <w:r w:rsidRPr="006C4AF4">
              <w:rPr>
                <w:rFonts w:eastAsia="Times New Roman"/>
                <w:b/>
                <w:bCs/>
                <w:color w:val="000000"/>
                <w:szCs w:val="24"/>
                <w:lang w:val="en-CA" w:eastAsia="en-CA"/>
              </w:rPr>
              <w:t>Voter Turnout by Existing Municipality</w:t>
            </w:r>
          </w:p>
        </w:tc>
      </w:tr>
      <w:tr w:rsidR="006C4AF4" w:rsidRPr="006C4AF4" w14:paraId="1D56EBF4" w14:textId="77777777" w:rsidTr="00E31483">
        <w:trPr>
          <w:trHeight w:val="560"/>
        </w:trPr>
        <w:tc>
          <w:tcPr>
            <w:tcW w:w="3891" w:type="dxa"/>
            <w:tcBorders>
              <w:top w:val="nil"/>
              <w:left w:val="nil"/>
              <w:bottom w:val="nil"/>
              <w:right w:val="nil"/>
            </w:tcBorders>
            <w:shd w:val="clear" w:color="4472C4" w:fill="4472C4"/>
            <w:hideMark/>
          </w:tcPr>
          <w:p w14:paraId="6369D289" w14:textId="77777777" w:rsidR="006C4AF4" w:rsidRPr="006C4AF4" w:rsidRDefault="006C4AF4" w:rsidP="00E31483">
            <w:pPr>
              <w:spacing w:after="0" w:line="240" w:lineRule="auto"/>
              <w:jc w:val="center"/>
              <w:rPr>
                <w:rFonts w:eastAsia="Times New Roman"/>
                <w:b/>
                <w:bCs/>
                <w:color w:val="000000"/>
                <w:szCs w:val="24"/>
                <w:lang w:val="en-CA" w:eastAsia="en-CA"/>
              </w:rPr>
            </w:pPr>
            <w:r w:rsidRPr="006C4AF4">
              <w:rPr>
                <w:rFonts w:eastAsia="Times New Roman"/>
                <w:b/>
                <w:bCs/>
                <w:color w:val="000000"/>
                <w:szCs w:val="24"/>
                <w:lang w:val="en-CA" w:eastAsia="en-CA"/>
              </w:rPr>
              <w:t>Municipality</w:t>
            </w:r>
          </w:p>
        </w:tc>
        <w:tc>
          <w:tcPr>
            <w:tcW w:w="1826" w:type="dxa"/>
            <w:tcBorders>
              <w:top w:val="nil"/>
              <w:left w:val="single" w:sz="4" w:space="0" w:color="FFFFFF"/>
              <w:bottom w:val="nil"/>
              <w:right w:val="nil"/>
            </w:tcBorders>
            <w:shd w:val="clear" w:color="4472C4" w:fill="4472C4"/>
            <w:hideMark/>
          </w:tcPr>
          <w:p w14:paraId="6DBEB3D9" w14:textId="77777777" w:rsidR="006C4AF4" w:rsidRPr="006C4AF4" w:rsidRDefault="006C4AF4" w:rsidP="00E31483">
            <w:pPr>
              <w:spacing w:after="0" w:line="240" w:lineRule="auto"/>
              <w:jc w:val="center"/>
              <w:rPr>
                <w:rFonts w:eastAsia="Times New Roman"/>
                <w:b/>
                <w:bCs/>
                <w:color w:val="000000"/>
                <w:szCs w:val="24"/>
                <w:lang w:val="en-CA" w:eastAsia="en-CA"/>
              </w:rPr>
            </w:pPr>
            <w:r w:rsidRPr="006C4AF4">
              <w:rPr>
                <w:rFonts w:eastAsia="Times New Roman"/>
                <w:b/>
                <w:bCs/>
                <w:color w:val="000000"/>
                <w:szCs w:val="24"/>
                <w:lang w:val="en-CA" w:eastAsia="en-CA"/>
              </w:rPr>
              <w:t>Voter Participation 2012</w:t>
            </w:r>
            <w:r w:rsidRPr="006C4AF4">
              <w:rPr>
                <w:rFonts w:eastAsia="Times New Roman"/>
                <w:b/>
                <w:bCs/>
                <w:color w:val="000000"/>
                <w:szCs w:val="24"/>
                <w:vertAlign w:val="superscript"/>
                <w:lang w:val="en-CA" w:eastAsia="en-CA"/>
              </w:rPr>
              <w:t>1</w:t>
            </w:r>
          </w:p>
        </w:tc>
        <w:tc>
          <w:tcPr>
            <w:tcW w:w="1826" w:type="dxa"/>
            <w:tcBorders>
              <w:top w:val="nil"/>
              <w:left w:val="single" w:sz="4" w:space="0" w:color="FFFFFF"/>
              <w:bottom w:val="nil"/>
              <w:right w:val="nil"/>
            </w:tcBorders>
            <w:shd w:val="clear" w:color="4472C4" w:fill="4472C4"/>
            <w:hideMark/>
          </w:tcPr>
          <w:p w14:paraId="4806831E" w14:textId="6A4BD035" w:rsidR="006C4AF4" w:rsidRPr="006C4AF4" w:rsidRDefault="006C4AF4" w:rsidP="00E31483">
            <w:pPr>
              <w:spacing w:after="0" w:line="240" w:lineRule="auto"/>
              <w:jc w:val="center"/>
              <w:rPr>
                <w:rFonts w:eastAsia="Times New Roman"/>
                <w:b/>
                <w:bCs/>
                <w:color w:val="000000"/>
                <w:szCs w:val="24"/>
                <w:lang w:val="en-CA" w:eastAsia="en-CA"/>
              </w:rPr>
            </w:pPr>
            <w:r w:rsidRPr="006C4AF4">
              <w:rPr>
                <w:rFonts w:eastAsia="Times New Roman"/>
                <w:b/>
                <w:bCs/>
                <w:color w:val="000000"/>
                <w:szCs w:val="24"/>
                <w:lang w:val="en-CA" w:eastAsia="en-CA"/>
              </w:rPr>
              <w:t>Voter Participation 2016</w:t>
            </w:r>
          </w:p>
        </w:tc>
        <w:tc>
          <w:tcPr>
            <w:tcW w:w="1817" w:type="dxa"/>
            <w:tcBorders>
              <w:top w:val="nil"/>
              <w:left w:val="single" w:sz="4" w:space="0" w:color="FFFFFF"/>
              <w:bottom w:val="nil"/>
              <w:right w:val="nil"/>
            </w:tcBorders>
            <w:shd w:val="clear" w:color="4472C4" w:fill="4472C4"/>
            <w:hideMark/>
          </w:tcPr>
          <w:p w14:paraId="3CE0F655" w14:textId="77777777" w:rsidR="006C4AF4" w:rsidRPr="006C4AF4" w:rsidRDefault="006C4AF4" w:rsidP="00E31483">
            <w:pPr>
              <w:spacing w:after="0" w:line="240" w:lineRule="auto"/>
              <w:jc w:val="center"/>
              <w:rPr>
                <w:rFonts w:eastAsia="Times New Roman"/>
                <w:b/>
                <w:bCs/>
                <w:color w:val="000000"/>
                <w:szCs w:val="24"/>
                <w:lang w:val="en-CA" w:eastAsia="en-CA"/>
              </w:rPr>
            </w:pPr>
            <w:r w:rsidRPr="006C4AF4">
              <w:rPr>
                <w:rFonts w:eastAsia="Times New Roman"/>
                <w:b/>
                <w:bCs/>
                <w:color w:val="000000"/>
                <w:szCs w:val="24"/>
                <w:lang w:val="en-CA" w:eastAsia="en-CA"/>
              </w:rPr>
              <w:t>Voter Participation 2017</w:t>
            </w:r>
          </w:p>
        </w:tc>
      </w:tr>
      <w:tr w:rsidR="006C4AF4" w:rsidRPr="006C4AF4" w14:paraId="58E70F4B" w14:textId="77777777" w:rsidTr="00E31483">
        <w:trPr>
          <w:trHeight w:val="330"/>
        </w:trPr>
        <w:tc>
          <w:tcPr>
            <w:tcW w:w="3891" w:type="dxa"/>
            <w:tcBorders>
              <w:top w:val="single" w:sz="12" w:space="0" w:color="FFFFFF"/>
              <w:left w:val="nil"/>
              <w:bottom w:val="nil"/>
              <w:right w:val="nil"/>
            </w:tcBorders>
            <w:shd w:val="clear" w:color="B4C6E7" w:fill="B4C6E7"/>
            <w:noWrap/>
            <w:vAlign w:val="bottom"/>
            <w:hideMark/>
          </w:tcPr>
          <w:p w14:paraId="2AA6B7A6" w14:textId="77777777" w:rsidR="006C4AF4" w:rsidRPr="006C4AF4" w:rsidRDefault="006C4AF4" w:rsidP="00E31483">
            <w:pPr>
              <w:spacing w:after="0" w:line="240" w:lineRule="auto"/>
              <w:rPr>
                <w:rFonts w:eastAsia="Times New Roman"/>
                <w:color w:val="000000"/>
                <w:szCs w:val="24"/>
                <w:lang w:val="en-CA" w:eastAsia="en-CA"/>
              </w:rPr>
            </w:pPr>
            <w:r w:rsidRPr="006C4AF4">
              <w:rPr>
                <w:rFonts w:eastAsia="Times New Roman"/>
                <w:color w:val="000000"/>
                <w:szCs w:val="24"/>
                <w:lang w:val="en-CA" w:eastAsia="en-CA"/>
              </w:rPr>
              <w:t>Clair</w:t>
            </w:r>
          </w:p>
        </w:tc>
        <w:tc>
          <w:tcPr>
            <w:tcW w:w="1826" w:type="dxa"/>
            <w:tcBorders>
              <w:top w:val="single" w:sz="12" w:space="0" w:color="FFFFFF"/>
              <w:left w:val="single" w:sz="4" w:space="0" w:color="FFFFFF"/>
              <w:bottom w:val="nil"/>
              <w:right w:val="nil"/>
            </w:tcBorders>
            <w:shd w:val="clear" w:color="B4C6E7" w:fill="B4C6E7"/>
            <w:noWrap/>
            <w:vAlign w:val="bottom"/>
            <w:hideMark/>
          </w:tcPr>
          <w:p w14:paraId="58E02422" w14:textId="77777777" w:rsidR="006C4AF4" w:rsidRPr="006C4AF4" w:rsidRDefault="006C4AF4" w:rsidP="00E31483">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59.2%</w:t>
            </w:r>
          </w:p>
        </w:tc>
        <w:tc>
          <w:tcPr>
            <w:tcW w:w="1826" w:type="dxa"/>
            <w:tcBorders>
              <w:top w:val="single" w:sz="12" w:space="0" w:color="FFFFFF"/>
              <w:left w:val="single" w:sz="4" w:space="0" w:color="FFFFFF"/>
              <w:bottom w:val="nil"/>
              <w:right w:val="nil"/>
            </w:tcBorders>
            <w:shd w:val="clear" w:color="B4C6E7" w:fill="B4C6E7"/>
            <w:noWrap/>
            <w:vAlign w:val="bottom"/>
            <w:hideMark/>
          </w:tcPr>
          <w:p w14:paraId="29D71B79" w14:textId="77777777" w:rsidR="006C4AF4" w:rsidRPr="006C4AF4" w:rsidRDefault="006C4AF4" w:rsidP="006113F1">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 xml:space="preserve">acclaimed </w:t>
            </w:r>
          </w:p>
        </w:tc>
        <w:tc>
          <w:tcPr>
            <w:tcW w:w="1817" w:type="dxa"/>
            <w:tcBorders>
              <w:top w:val="single" w:sz="12" w:space="0" w:color="FFFFFF"/>
              <w:left w:val="single" w:sz="4" w:space="0" w:color="FFFFFF"/>
              <w:bottom w:val="nil"/>
              <w:right w:val="nil"/>
            </w:tcBorders>
            <w:shd w:val="clear" w:color="B4C6E7" w:fill="B4C6E7"/>
            <w:noWrap/>
            <w:hideMark/>
          </w:tcPr>
          <w:p w14:paraId="3C45B2BF" w14:textId="77777777" w:rsidR="006C4AF4" w:rsidRPr="006C4AF4" w:rsidRDefault="006C4AF4" w:rsidP="00E31483">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N/A</w:t>
            </w:r>
          </w:p>
        </w:tc>
      </w:tr>
      <w:tr w:rsidR="006C4AF4" w:rsidRPr="006C4AF4" w14:paraId="5A60A4A9" w14:textId="77777777" w:rsidTr="00E31483">
        <w:trPr>
          <w:trHeight w:val="310"/>
        </w:trPr>
        <w:tc>
          <w:tcPr>
            <w:tcW w:w="3891" w:type="dxa"/>
            <w:tcBorders>
              <w:top w:val="single" w:sz="4" w:space="0" w:color="FFFFFF"/>
              <w:left w:val="nil"/>
              <w:bottom w:val="nil"/>
              <w:right w:val="nil"/>
            </w:tcBorders>
            <w:shd w:val="clear" w:color="D9E1F2" w:fill="D9E1F2"/>
            <w:noWrap/>
            <w:vAlign w:val="bottom"/>
            <w:hideMark/>
          </w:tcPr>
          <w:p w14:paraId="33429C25" w14:textId="77777777" w:rsidR="006C4AF4" w:rsidRPr="006C4AF4" w:rsidRDefault="006C4AF4" w:rsidP="00E31483">
            <w:pPr>
              <w:spacing w:after="0" w:line="240" w:lineRule="auto"/>
              <w:rPr>
                <w:rFonts w:eastAsia="Times New Roman"/>
                <w:color w:val="000000"/>
                <w:szCs w:val="24"/>
                <w:lang w:val="en-CA" w:eastAsia="en-CA"/>
              </w:rPr>
            </w:pPr>
            <w:r w:rsidRPr="006C4AF4">
              <w:rPr>
                <w:rFonts w:eastAsia="Times New Roman"/>
                <w:color w:val="000000"/>
                <w:szCs w:val="24"/>
                <w:lang w:val="en-CA" w:eastAsia="en-CA"/>
              </w:rPr>
              <w:t>Lac Baker</w:t>
            </w:r>
          </w:p>
        </w:tc>
        <w:tc>
          <w:tcPr>
            <w:tcW w:w="1826" w:type="dxa"/>
            <w:tcBorders>
              <w:top w:val="single" w:sz="4" w:space="0" w:color="FFFFFF"/>
              <w:left w:val="single" w:sz="4" w:space="0" w:color="FFFFFF"/>
              <w:bottom w:val="nil"/>
              <w:right w:val="nil"/>
            </w:tcBorders>
            <w:shd w:val="clear" w:color="D9E1F2" w:fill="D9E1F2"/>
            <w:noWrap/>
            <w:vAlign w:val="bottom"/>
            <w:hideMark/>
          </w:tcPr>
          <w:p w14:paraId="1D6D0080" w14:textId="77777777" w:rsidR="006C4AF4" w:rsidRPr="006C4AF4" w:rsidRDefault="006C4AF4" w:rsidP="00E31483">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acclaimed</w:t>
            </w:r>
          </w:p>
        </w:tc>
        <w:tc>
          <w:tcPr>
            <w:tcW w:w="1826" w:type="dxa"/>
            <w:tcBorders>
              <w:top w:val="single" w:sz="4" w:space="0" w:color="FFFFFF"/>
              <w:left w:val="single" w:sz="4" w:space="0" w:color="FFFFFF"/>
              <w:bottom w:val="nil"/>
              <w:right w:val="nil"/>
            </w:tcBorders>
            <w:shd w:val="clear" w:color="D9E1F2" w:fill="D9E1F2"/>
            <w:noWrap/>
            <w:vAlign w:val="bottom"/>
            <w:hideMark/>
          </w:tcPr>
          <w:p w14:paraId="79B8E5CB" w14:textId="77777777" w:rsidR="006C4AF4" w:rsidRPr="006C4AF4" w:rsidRDefault="006C4AF4" w:rsidP="00E31483">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79.6%</w:t>
            </w:r>
          </w:p>
        </w:tc>
        <w:tc>
          <w:tcPr>
            <w:tcW w:w="1817" w:type="dxa"/>
            <w:tcBorders>
              <w:top w:val="single" w:sz="4" w:space="0" w:color="FFFFFF"/>
              <w:left w:val="single" w:sz="4" w:space="0" w:color="FFFFFF"/>
              <w:bottom w:val="nil"/>
              <w:right w:val="nil"/>
            </w:tcBorders>
            <w:shd w:val="clear" w:color="D9E1F2" w:fill="D9E1F2"/>
            <w:noWrap/>
            <w:vAlign w:val="bottom"/>
            <w:hideMark/>
          </w:tcPr>
          <w:p w14:paraId="45549EE6" w14:textId="77777777" w:rsidR="006C4AF4" w:rsidRPr="006C4AF4" w:rsidRDefault="006C4AF4" w:rsidP="00E31483">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N/A</w:t>
            </w:r>
          </w:p>
        </w:tc>
      </w:tr>
      <w:tr w:rsidR="006C4AF4" w:rsidRPr="006C4AF4" w14:paraId="275C92E6" w14:textId="77777777" w:rsidTr="00E31483">
        <w:trPr>
          <w:trHeight w:val="310"/>
        </w:trPr>
        <w:tc>
          <w:tcPr>
            <w:tcW w:w="3891" w:type="dxa"/>
            <w:tcBorders>
              <w:top w:val="single" w:sz="4" w:space="0" w:color="FFFFFF"/>
              <w:left w:val="nil"/>
              <w:bottom w:val="nil"/>
              <w:right w:val="nil"/>
            </w:tcBorders>
            <w:shd w:val="clear" w:color="B4C6E7" w:fill="B4C6E7"/>
            <w:noWrap/>
            <w:vAlign w:val="bottom"/>
            <w:hideMark/>
          </w:tcPr>
          <w:p w14:paraId="4899CFB2" w14:textId="77777777" w:rsidR="006C4AF4" w:rsidRPr="006C4AF4" w:rsidRDefault="006C4AF4" w:rsidP="00E31483">
            <w:pPr>
              <w:spacing w:after="0" w:line="240" w:lineRule="auto"/>
              <w:rPr>
                <w:rFonts w:eastAsia="Times New Roman"/>
                <w:color w:val="000000"/>
                <w:szCs w:val="24"/>
                <w:lang w:val="en-CA" w:eastAsia="en-CA"/>
              </w:rPr>
            </w:pPr>
            <w:r w:rsidRPr="006C4AF4">
              <w:rPr>
                <w:rFonts w:eastAsia="Times New Roman"/>
                <w:color w:val="000000"/>
                <w:szCs w:val="24"/>
                <w:lang w:val="en-CA" w:eastAsia="en-CA"/>
              </w:rPr>
              <w:t>Baker-Brook</w:t>
            </w:r>
          </w:p>
        </w:tc>
        <w:tc>
          <w:tcPr>
            <w:tcW w:w="1826" w:type="dxa"/>
            <w:tcBorders>
              <w:top w:val="single" w:sz="4" w:space="0" w:color="FFFFFF"/>
              <w:left w:val="single" w:sz="4" w:space="0" w:color="FFFFFF"/>
              <w:bottom w:val="nil"/>
              <w:right w:val="nil"/>
            </w:tcBorders>
            <w:shd w:val="clear" w:color="B4C6E7" w:fill="B4C6E7"/>
            <w:noWrap/>
            <w:vAlign w:val="bottom"/>
            <w:hideMark/>
          </w:tcPr>
          <w:p w14:paraId="4FC1B382" w14:textId="77777777" w:rsidR="006C4AF4" w:rsidRPr="006C4AF4" w:rsidRDefault="006C4AF4" w:rsidP="00E31483">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45.5%</w:t>
            </w:r>
          </w:p>
        </w:tc>
        <w:tc>
          <w:tcPr>
            <w:tcW w:w="1826" w:type="dxa"/>
            <w:tcBorders>
              <w:top w:val="single" w:sz="4" w:space="0" w:color="FFFFFF"/>
              <w:left w:val="single" w:sz="4" w:space="0" w:color="FFFFFF"/>
              <w:bottom w:val="nil"/>
              <w:right w:val="nil"/>
            </w:tcBorders>
            <w:shd w:val="clear" w:color="B4C6E7" w:fill="B4C6E7"/>
            <w:noWrap/>
            <w:vAlign w:val="bottom"/>
            <w:hideMark/>
          </w:tcPr>
          <w:p w14:paraId="551065E1" w14:textId="77777777" w:rsidR="006C4AF4" w:rsidRPr="006C4AF4" w:rsidRDefault="006C4AF4" w:rsidP="006113F1">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 xml:space="preserve">acclaimed </w:t>
            </w:r>
          </w:p>
        </w:tc>
        <w:tc>
          <w:tcPr>
            <w:tcW w:w="1817" w:type="dxa"/>
            <w:tcBorders>
              <w:top w:val="single" w:sz="4" w:space="0" w:color="FFFFFF"/>
              <w:left w:val="single" w:sz="4" w:space="0" w:color="FFFFFF"/>
              <w:bottom w:val="nil"/>
              <w:right w:val="nil"/>
            </w:tcBorders>
            <w:shd w:val="clear" w:color="B4C6E7" w:fill="B4C6E7"/>
            <w:noWrap/>
            <w:hideMark/>
          </w:tcPr>
          <w:p w14:paraId="712158E7" w14:textId="77777777" w:rsidR="006C4AF4" w:rsidRPr="006C4AF4" w:rsidRDefault="006C4AF4" w:rsidP="00E31483">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N/A</w:t>
            </w:r>
          </w:p>
        </w:tc>
      </w:tr>
      <w:tr w:rsidR="006C4AF4" w:rsidRPr="006C4AF4" w14:paraId="0B3676BB" w14:textId="77777777" w:rsidTr="00E31483">
        <w:trPr>
          <w:trHeight w:val="310"/>
        </w:trPr>
        <w:tc>
          <w:tcPr>
            <w:tcW w:w="3891" w:type="dxa"/>
            <w:tcBorders>
              <w:top w:val="single" w:sz="4" w:space="0" w:color="FFFFFF"/>
              <w:left w:val="nil"/>
              <w:bottom w:val="nil"/>
              <w:right w:val="nil"/>
            </w:tcBorders>
            <w:shd w:val="clear" w:color="D9E1F2" w:fill="D9E1F2"/>
            <w:noWrap/>
            <w:vAlign w:val="bottom"/>
            <w:hideMark/>
          </w:tcPr>
          <w:p w14:paraId="257C5A7F" w14:textId="77777777" w:rsidR="006C4AF4" w:rsidRPr="006C4AF4" w:rsidRDefault="006C4AF4" w:rsidP="00E31483">
            <w:pPr>
              <w:spacing w:after="0" w:line="240" w:lineRule="auto"/>
              <w:rPr>
                <w:rFonts w:eastAsia="Times New Roman"/>
                <w:color w:val="000000"/>
                <w:szCs w:val="24"/>
                <w:lang w:val="en-CA" w:eastAsia="en-CA"/>
              </w:rPr>
            </w:pPr>
            <w:r w:rsidRPr="006C4AF4">
              <w:rPr>
                <w:rFonts w:eastAsia="Times New Roman"/>
                <w:color w:val="000000"/>
                <w:szCs w:val="24"/>
                <w:lang w:val="en-CA" w:eastAsia="en-CA"/>
              </w:rPr>
              <w:t>Saint-Francois de Madawaska</w:t>
            </w:r>
          </w:p>
        </w:tc>
        <w:tc>
          <w:tcPr>
            <w:tcW w:w="1826" w:type="dxa"/>
            <w:tcBorders>
              <w:top w:val="single" w:sz="4" w:space="0" w:color="FFFFFF"/>
              <w:left w:val="single" w:sz="4" w:space="0" w:color="FFFFFF"/>
              <w:bottom w:val="nil"/>
              <w:right w:val="nil"/>
            </w:tcBorders>
            <w:shd w:val="clear" w:color="D9E1F2" w:fill="D9E1F2"/>
            <w:noWrap/>
            <w:vAlign w:val="bottom"/>
            <w:hideMark/>
          </w:tcPr>
          <w:p w14:paraId="2EA884EB" w14:textId="77777777" w:rsidR="006C4AF4" w:rsidRPr="006C4AF4" w:rsidRDefault="006C4AF4" w:rsidP="00E31483">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acclaimed</w:t>
            </w:r>
          </w:p>
        </w:tc>
        <w:tc>
          <w:tcPr>
            <w:tcW w:w="1826" w:type="dxa"/>
            <w:tcBorders>
              <w:top w:val="single" w:sz="4" w:space="0" w:color="FFFFFF"/>
              <w:left w:val="single" w:sz="4" w:space="0" w:color="FFFFFF"/>
              <w:bottom w:val="nil"/>
              <w:right w:val="nil"/>
            </w:tcBorders>
            <w:shd w:val="clear" w:color="D9E1F2" w:fill="D9E1F2"/>
            <w:noWrap/>
            <w:vAlign w:val="bottom"/>
            <w:hideMark/>
          </w:tcPr>
          <w:p w14:paraId="11FFE97D" w14:textId="77777777" w:rsidR="006C4AF4" w:rsidRPr="006C4AF4" w:rsidRDefault="006C4AF4" w:rsidP="00E31483">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67.4%</w:t>
            </w:r>
          </w:p>
        </w:tc>
        <w:tc>
          <w:tcPr>
            <w:tcW w:w="1817" w:type="dxa"/>
            <w:tcBorders>
              <w:top w:val="single" w:sz="4" w:space="0" w:color="FFFFFF"/>
              <w:left w:val="single" w:sz="4" w:space="0" w:color="FFFFFF"/>
              <w:bottom w:val="nil"/>
              <w:right w:val="nil"/>
            </w:tcBorders>
            <w:shd w:val="clear" w:color="D9E1F2" w:fill="D9E1F2"/>
            <w:noWrap/>
            <w:vAlign w:val="bottom"/>
            <w:hideMark/>
          </w:tcPr>
          <w:p w14:paraId="21AD2A24" w14:textId="77777777" w:rsidR="006C4AF4" w:rsidRPr="006C4AF4" w:rsidRDefault="006C4AF4" w:rsidP="00E31483">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N/A</w:t>
            </w:r>
          </w:p>
        </w:tc>
      </w:tr>
      <w:tr w:rsidR="006C4AF4" w:rsidRPr="006C4AF4" w14:paraId="19E4574A" w14:textId="77777777" w:rsidTr="00E31483">
        <w:trPr>
          <w:trHeight w:val="310"/>
        </w:trPr>
        <w:tc>
          <w:tcPr>
            <w:tcW w:w="3891" w:type="dxa"/>
            <w:tcBorders>
              <w:top w:val="single" w:sz="4" w:space="0" w:color="FFFFFF"/>
              <w:left w:val="nil"/>
              <w:bottom w:val="nil"/>
              <w:right w:val="nil"/>
            </w:tcBorders>
            <w:shd w:val="clear" w:color="B4C6E7" w:fill="B4C6E7"/>
            <w:noWrap/>
            <w:vAlign w:val="bottom"/>
            <w:hideMark/>
          </w:tcPr>
          <w:p w14:paraId="43759AA2" w14:textId="77777777" w:rsidR="006C4AF4" w:rsidRPr="006C4AF4" w:rsidRDefault="006C4AF4" w:rsidP="00E31483">
            <w:pPr>
              <w:spacing w:after="0" w:line="240" w:lineRule="auto"/>
              <w:rPr>
                <w:rFonts w:eastAsia="Times New Roman"/>
                <w:color w:val="000000"/>
                <w:szCs w:val="24"/>
                <w:lang w:val="en-CA" w:eastAsia="en-CA"/>
              </w:rPr>
            </w:pPr>
            <w:r w:rsidRPr="006C4AF4">
              <w:rPr>
                <w:rFonts w:eastAsia="Times New Roman"/>
                <w:color w:val="000000"/>
                <w:szCs w:val="24"/>
                <w:lang w:val="en-CA" w:eastAsia="en-CA"/>
              </w:rPr>
              <w:t>St. Hilaire</w:t>
            </w:r>
          </w:p>
        </w:tc>
        <w:tc>
          <w:tcPr>
            <w:tcW w:w="1826" w:type="dxa"/>
            <w:tcBorders>
              <w:top w:val="single" w:sz="4" w:space="0" w:color="FFFFFF"/>
              <w:left w:val="single" w:sz="4" w:space="0" w:color="FFFFFF"/>
              <w:bottom w:val="nil"/>
              <w:right w:val="nil"/>
            </w:tcBorders>
            <w:shd w:val="clear" w:color="B4C6E7" w:fill="B4C6E7"/>
            <w:noWrap/>
            <w:vAlign w:val="bottom"/>
            <w:hideMark/>
          </w:tcPr>
          <w:p w14:paraId="11BA0342" w14:textId="77777777" w:rsidR="006C4AF4" w:rsidRPr="006C4AF4" w:rsidRDefault="006C4AF4" w:rsidP="00E31483">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acclaimed</w:t>
            </w:r>
          </w:p>
        </w:tc>
        <w:tc>
          <w:tcPr>
            <w:tcW w:w="1826" w:type="dxa"/>
            <w:tcBorders>
              <w:top w:val="single" w:sz="4" w:space="0" w:color="FFFFFF"/>
              <w:left w:val="single" w:sz="4" w:space="0" w:color="FFFFFF"/>
              <w:bottom w:val="nil"/>
              <w:right w:val="nil"/>
            </w:tcBorders>
            <w:shd w:val="clear" w:color="B4C6E7" w:fill="B4C6E7"/>
            <w:noWrap/>
            <w:vAlign w:val="bottom"/>
            <w:hideMark/>
          </w:tcPr>
          <w:p w14:paraId="281BBC9E" w14:textId="77777777" w:rsidR="006C4AF4" w:rsidRPr="006C4AF4" w:rsidRDefault="006C4AF4" w:rsidP="00E31483">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60.5%</w:t>
            </w:r>
          </w:p>
        </w:tc>
        <w:tc>
          <w:tcPr>
            <w:tcW w:w="1817" w:type="dxa"/>
            <w:tcBorders>
              <w:top w:val="single" w:sz="4" w:space="0" w:color="FFFFFF"/>
              <w:left w:val="single" w:sz="4" w:space="0" w:color="FFFFFF"/>
              <w:bottom w:val="nil"/>
              <w:right w:val="nil"/>
            </w:tcBorders>
            <w:shd w:val="clear" w:color="B4C6E7" w:fill="B4C6E7"/>
            <w:noWrap/>
            <w:hideMark/>
          </w:tcPr>
          <w:p w14:paraId="4B1FB15F" w14:textId="77777777" w:rsidR="006C4AF4" w:rsidRPr="006C4AF4" w:rsidRDefault="006C4AF4" w:rsidP="00E31483">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N/A</w:t>
            </w:r>
          </w:p>
        </w:tc>
      </w:tr>
      <w:tr w:rsidR="006C4AF4" w:rsidRPr="006C4AF4" w14:paraId="679DF363" w14:textId="77777777" w:rsidTr="00E31483">
        <w:trPr>
          <w:trHeight w:val="310"/>
        </w:trPr>
        <w:tc>
          <w:tcPr>
            <w:tcW w:w="3891" w:type="dxa"/>
            <w:tcBorders>
              <w:top w:val="single" w:sz="4" w:space="0" w:color="FFFFFF"/>
              <w:left w:val="nil"/>
              <w:bottom w:val="nil"/>
              <w:right w:val="nil"/>
            </w:tcBorders>
            <w:shd w:val="clear" w:color="D9E1F2" w:fill="D9E1F2"/>
            <w:noWrap/>
            <w:vAlign w:val="bottom"/>
            <w:hideMark/>
          </w:tcPr>
          <w:p w14:paraId="67F57A30" w14:textId="77777777" w:rsidR="006C4AF4" w:rsidRPr="006C4AF4" w:rsidRDefault="006C4AF4" w:rsidP="00E31483">
            <w:pPr>
              <w:spacing w:after="0" w:line="240" w:lineRule="auto"/>
              <w:rPr>
                <w:rFonts w:eastAsia="Times New Roman"/>
                <w:color w:val="000000"/>
                <w:szCs w:val="24"/>
                <w:lang w:val="en-CA" w:eastAsia="en-CA"/>
              </w:rPr>
            </w:pPr>
            <w:r w:rsidRPr="006C4AF4">
              <w:rPr>
                <w:rFonts w:eastAsia="Times New Roman"/>
                <w:color w:val="000000"/>
                <w:szCs w:val="24"/>
                <w:lang w:val="en-CA" w:eastAsia="en-CA"/>
              </w:rPr>
              <w:t>Haut-Madawaska</w:t>
            </w:r>
          </w:p>
        </w:tc>
        <w:tc>
          <w:tcPr>
            <w:tcW w:w="1826" w:type="dxa"/>
            <w:tcBorders>
              <w:top w:val="single" w:sz="4" w:space="0" w:color="FFFFFF"/>
              <w:left w:val="single" w:sz="4" w:space="0" w:color="FFFFFF"/>
              <w:bottom w:val="nil"/>
              <w:right w:val="nil"/>
            </w:tcBorders>
            <w:shd w:val="clear" w:color="D9E1F2" w:fill="D9E1F2"/>
            <w:noWrap/>
            <w:vAlign w:val="bottom"/>
            <w:hideMark/>
          </w:tcPr>
          <w:p w14:paraId="4F5D6824" w14:textId="77777777" w:rsidR="006C4AF4" w:rsidRPr="006C4AF4" w:rsidRDefault="006C4AF4" w:rsidP="00E31483">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N/A</w:t>
            </w:r>
          </w:p>
        </w:tc>
        <w:tc>
          <w:tcPr>
            <w:tcW w:w="1826" w:type="dxa"/>
            <w:tcBorders>
              <w:top w:val="single" w:sz="4" w:space="0" w:color="FFFFFF"/>
              <w:left w:val="single" w:sz="4" w:space="0" w:color="FFFFFF"/>
              <w:bottom w:val="nil"/>
              <w:right w:val="nil"/>
            </w:tcBorders>
            <w:shd w:val="clear" w:color="D9E1F2" w:fill="D9E1F2"/>
            <w:noWrap/>
            <w:vAlign w:val="bottom"/>
            <w:hideMark/>
          </w:tcPr>
          <w:p w14:paraId="4D710BB6" w14:textId="77777777" w:rsidR="006C4AF4" w:rsidRPr="006C4AF4" w:rsidRDefault="006C4AF4" w:rsidP="00E31483">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N/A</w:t>
            </w:r>
          </w:p>
        </w:tc>
        <w:tc>
          <w:tcPr>
            <w:tcW w:w="1817" w:type="dxa"/>
            <w:tcBorders>
              <w:top w:val="single" w:sz="4" w:space="0" w:color="FFFFFF"/>
              <w:left w:val="single" w:sz="4" w:space="0" w:color="FFFFFF"/>
              <w:bottom w:val="nil"/>
              <w:right w:val="nil"/>
            </w:tcBorders>
            <w:shd w:val="clear" w:color="D9E1F2" w:fill="D9E1F2"/>
            <w:noWrap/>
            <w:vAlign w:val="bottom"/>
            <w:hideMark/>
          </w:tcPr>
          <w:p w14:paraId="04DB2EC5" w14:textId="77777777" w:rsidR="006C4AF4" w:rsidRPr="006C4AF4" w:rsidRDefault="006C4AF4" w:rsidP="00E31483">
            <w:pPr>
              <w:spacing w:after="0" w:line="240" w:lineRule="auto"/>
              <w:jc w:val="right"/>
              <w:rPr>
                <w:rFonts w:eastAsia="Times New Roman"/>
                <w:color w:val="000000"/>
                <w:szCs w:val="24"/>
                <w:lang w:val="en-CA" w:eastAsia="en-CA"/>
              </w:rPr>
            </w:pPr>
            <w:r w:rsidRPr="006C4AF4">
              <w:rPr>
                <w:rFonts w:eastAsia="Times New Roman"/>
                <w:color w:val="000000"/>
                <w:szCs w:val="24"/>
                <w:lang w:val="en-CA" w:eastAsia="en-CA"/>
              </w:rPr>
              <w:t>61.79%*</w:t>
            </w:r>
          </w:p>
        </w:tc>
      </w:tr>
      <w:tr w:rsidR="006C4AF4" w:rsidRPr="006C4AF4" w14:paraId="5679592B" w14:textId="77777777" w:rsidTr="00E31483">
        <w:trPr>
          <w:trHeight w:val="310"/>
        </w:trPr>
        <w:tc>
          <w:tcPr>
            <w:tcW w:w="9360" w:type="dxa"/>
            <w:gridSpan w:val="4"/>
            <w:tcBorders>
              <w:top w:val="nil"/>
              <w:left w:val="nil"/>
              <w:bottom w:val="nil"/>
              <w:right w:val="nil"/>
            </w:tcBorders>
            <w:shd w:val="clear" w:color="auto" w:fill="auto"/>
            <w:noWrap/>
            <w:vAlign w:val="bottom"/>
            <w:hideMark/>
          </w:tcPr>
          <w:p w14:paraId="318F032B" w14:textId="77777777" w:rsidR="006C4AF4" w:rsidRPr="006C4AF4" w:rsidRDefault="006C4AF4" w:rsidP="00E31483">
            <w:pPr>
              <w:spacing w:after="0" w:line="240" w:lineRule="auto"/>
              <w:rPr>
                <w:rFonts w:eastAsia="Times New Roman"/>
                <w:color w:val="000000"/>
                <w:sz w:val="20"/>
                <w:szCs w:val="20"/>
                <w:lang w:val="en-CA" w:eastAsia="en-CA"/>
              </w:rPr>
            </w:pPr>
            <w:r w:rsidRPr="006C4AF4">
              <w:rPr>
                <w:rFonts w:eastAsia="Times New Roman"/>
                <w:color w:val="000000"/>
                <w:sz w:val="20"/>
                <w:szCs w:val="20"/>
                <w:lang w:val="en-CA" w:eastAsia="en-CA"/>
              </w:rPr>
              <w:t>1. Elections NB</w:t>
            </w:r>
          </w:p>
        </w:tc>
      </w:tr>
      <w:tr w:rsidR="006C4AF4" w:rsidRPr="006C4AF4" w14:paraId="73E2D947" w14:textId="77777777" w:rsidTr="00E31483">
        <w:trPr>
          <w:trHeight w:val="310"/>
        </w:trPr>
        <w:tc>
          <w:tcPr>
            <w:tcW w:w="9360" w:type="dxa"/>
            <w:gridSpan w:val="4"/>
            <w:tcBorders>
              <w:top w:val="nil"/>
              <w:left w:val="nil"/>
              <w:bottom w:val="nil"/>
              <w:right w:val="nil"/>
            </w:tcBorders>
            <w:shd w:val="clear" w:color="auto" w:fill="auto"/>
            <w:noWrap/>
            <w:vAlign w:val="center"/>
            <w:hideMark/>
          </w:tcPr>
          <w:p w14:paraId="71C37EC2" w14:textId="77777777" w:rsidR="006C4AF4" w:rsidRPr="006C4AF4" w:rsidRDefault="006C4AF4" w:rsidP="00E31483">
            <w:pPr>
              <w:spacing w:after="0" w:line="240" w:lineRule="auto"/>
              <w:rPr>
                <w:rFonts w:eastAsia="Times New Roman"/>
                <w:color w:val="000000"/>
                <w:sz w:val="20"/>
                <w:szCs w:val="20"/>
                <w:lang w:val="en-CA" w:eastAsia="en-CA"/>
              </w:rPr>
            </w:pPr>
            <w:r w:rsidRPr="006C4AF4">
              <w:rPr>
                <w:rFonts w:eastAsia="Times New Roman"/>
                <w:color w:val="000000"/>
                <w:sz w:val="20"/>
                <w:szCs w:val="20"/>
                <w:lang w:val="en-CA" w:eastAsia="en-CA"/>
              </w:rPr>
              <w:t>*Elections NB provides official turnout rates only for quadrennial election results. This figure is derived from the total number of ballots cast and an approximated electorate from Stats Can</w:t>
            </w:r>
          </w:p>
        </w:tc>
      </w:tr>
    </w:tbl>
    <w:p w14:paraId="7C96A5A8" w14:textId="0BDD047D" w:rsidR="006C4672" w:rsidRDefault="006C4672" w:rsidP="00674839">
      <w:pPr>
        <w:spacing w:before="240"/>
        <w:rPr>
          <w:rFonts w:eastAsia="Times New Roman"/>
          <w:color w:val="000000" w:themeColor="text1"/>
          <w:szCs w:val="24"/>
        </w:rPr>
      </w:pPr>
      <w:r>
        <w:rPr>
          <w:rFonts w:eastAsia="Times New Roman"/>
          <w:color w:val="000000" w:themeColor="text1"/>
          <w:szCs w:val="24"/>
        </w:rPr>
        <w:t>Haut-Madawaska’s first election in 201</w:t>
      </w:r>
      <w:r w:rsidR="008045B1">
        <w:rPr>
          <w:rFonts w:eastAsia="Times New Roman"/>
          <w:color w:val="000000" w:themeColor="text1"/>
          <w:szCs w:val="24"/>
        </w:rPr>
        <w:t>7</w:t>
      </w:r>
      <w:r w:rsidR="006D4C16">
        <w:rPr>
          <w:rFonts w:eastAsia="Times New Roman"/>
          <w:color w:val="000000" w:themeColor="text1"/>
          <w:szCs w:val="24"/>
        </w:rPr>
        <w:t xml:space="preserve"> </w:t>
      </w:r>
      <w:r w:rsidR="00686E96">
        <w:rPr>
          <w:rFonts w:eastAsia="Times New Roman"/>
          <w:color w:val="000000" w:themeColor="text1"/>
          <w:szCs w:val="24"/>
        </w:rPr>
        <w:t xml:space="preserve">appears to </w:t>
      </w:r>
      <w:r w:rsidR="003C631F">
        <w:rPr>
          <w:rFonts w:eastAsia="Times New Roman"/>
          <w:color w:val="000000" w:themeColor="text1"/>
          <w:szCs w:val="24"/>
        </w:rPr>
        <w:t xml:space="preserve">demonstrate that </w:t>
      </w:r>
      <w:r w:rsidR="00625107">
        <w:rPr>
          <w:rFonts w:eastAsia="Times New Roman"/>
          <w:color w:val="000000" w:themeColor="text1"/>
          <w:szCs w:val="24"/>
        </w:rPr>
        <w:t>larger municipal entities can</w:t>
      </w:r>
      <w:r w:rsidR="00686E96">
        <w:rPr>
          <w:rFonts w:eastAsia="Times New Roman"/>
          <w:color w:val="000000" w:themeColor="text1"/>
          <w:szCs w:val="24"/>
        </w:rPr>
        <w:t xml:space="preserve"> </w:t>
      </w:r>
      <w:r w:rsidR="006D4C16">
        <w:rPr>
          <w:rFonts w:eastAsia="Times New Roman"/>
          <w:color w:val="000000" w:themeColor="text1"/>
          <w:szCs w:val="24"/>
        </w:rPr>
        <w:t>addressed th</w:t>
      </w:r>
      <w:r w:rsidR="00686E96">
        <w:rPr>
          <w:rFonts w:eastAsia="Times New Roman"/>
          <w:color w:val="000000" w:themeColor="text1"/>
          <w:szCs w:val="24"/>
        </w:rPr>
        <w:t xml:space="preserve">e </w:t>
      </w:r>
      <w:r w:rsidR="006D4C16">
        <w:rPr>
          <w:rFonts w:eastAsia="Times New Roman"/>
          <w:color w:val="000000" w:themeColor="text1"/>
          <w:szCs w:val="24"/>
        </w:rPr>
        <w:t>issue</w:t>
      </w:r>
      <w:r w:rsidR="00625107">
        <w:rPr>
          <w:rFonts w:eastAsia="Times New Roman"/>
          <w:color w:val="000000" w:themeColor="text1"/>
          <w:szCs w:val="24"/>
        </w:rPr>
        <w:t xml:space="preserve"> of shrinking candidate pools</w:t>
      </w:r>
      <w:r w:rsidR="006D4C16">
        <w:rPr>
          <w:rFonts w:eastAsia="Times New Roman"/>
          <w:color w:val="000000" w:themeColor="text1"/>
          <w:szCs w:val="24"/>
        </w:rPr>
        <w:t xml:space="preserve">. </w:t>
      </w:r>
      <w:r w:rsidR="00A60240">
        <w:rPr>
          <w:rFonts w:eastAsia="Times New Roman"/>
          <w:color w:val="000000" w:themeColor="text1"/>
          <w:szCs w:val="24"/>
        </w:rPr>
        <w:t>Each of the Rural Community’s 5 council positions saw at least 3 candidates contesting</w:t>
      </w:r>
      <w:r w:rsidR="00625107">
        <w:rPr>
          <w:rFonts w:eastAsia="Times New Roman"/>
          <w:color w:val="000000" w:themeColor="text1"/>
          <w:szCs w:val="24"/>
        </w:rPr>
        <w:t xml:space="preserve"> where previously </w:t>
      </w:r>
      <w:r w:rsidR="007C6CC6">
        <w:rPr>
          <w:rFonts w:eastAsia="Times New Roman"/>
          <w:color w:val="000000" w:themeColor="text1"/>
          <w:szCs w:val="24"/>
        </w:rPr>
        <w:t>each individual community had a significant chance of being unable to hold a contested election at all</w:t>
      </w:r>
      <w:r w:rsidR="00A60240">
        <w:rPr>
          <w:rFonts w:eastAsia="Times New Roman"/>
          <w:color w:val="000000" w:themeColor="text1"/>
          <w:szCs w:val="24"/>
        </w:rPr>
        <w:t xml:space="preserve">. </w:t>
      </w:r>
      <w:r w:rsidR="007C6CC6">
        <w:rPr>
          <w:rFonts w:eastAsia="Times New Roman"/>
          <w:color w:val="000000" w:themeColor="text1"/>
          <w:szCs w:val="24"/>
        </w:rPr>
        <w:t xml:space="preserve">Likewise, a tentative estimation of the 2017 election’s voter turnout rate demonstrates that </w:t>
      </w:r>
      <w:r w:rsidR="0088756F">
        <w:rPr>
          <w:rFonts w:eastAsia="Times New Roman"/>
          <w:color w:val="000000" w:themeColor="text1"/>
          <w:szCs w:val="24"/>
        </w:rPr>
        <w:t xml:space="preserve">despite the large size of the municipality, voters still </w:t>
      </w:r>
      <w:r w:rsidR="005D5FAA">
        <w:rPr>
          <w:rFonts w:eastAsia="Times New Roman"/>
          <w:color w:val="000000" w:themeColor="text1"/>
          <w:szCs w:val="24"/>
        </w:rPr>
        <w:t>turned out in</w:t>
      </w:r>
      <w:r w:rsidR="00F05599">
        <w:rPr>
          <w:rFonts w:eastAsia="Times New Roman"/>
          <w:color w:val="000000" w:themeColor="text1"/>
          <w:szCs w:val="24"/>
        </w:rPr>
        <w:t xml:space="preserve"> </w:t>
      </w:r>
      <w:r w:rsidR="005D5FAA">
        <w:rPr>
          <w:rFonts w:eastAsia="Times New Roman"/>
          <w:color w:val="000000" w:themeColor="text1"/>
          <w:szCs w:val="24"/>
        </w:rPr>
        <w:t xml:space="preserve">numbers far higher than the provincial average. </w:t>
      </w:r>
      <w:r w:rsidR="00041C1D">
        <w:rPr>
          <w:rFonts w:eastAsia="Times New Roman"/>
          <w:color w:val="000000" w:themeColor="text1"/>
          <w:szCs w:val="24"/>
        </w:rPr>
        <w:t xml:space="preserve"> </w:t>
      </w:r>
    </w:p>
    <w:p w14:paraId="37792D18" w14:textId="16998000" w:rsidR="00226288" w:rsidRPr="00226288" w:rsidRDefault="00502C3C" w:rsidP="00226288">
      <w:pPr>
        <w:rPr>
          <w:rFonts w:eastAsia="Times New Roman"/>
          <w:color w:val="000000" w:themeColor="text1"/>
          <w:szCs w:val="24"/>
        </w:rPr>
      </w:pPr>
      <w:r>
        <w:rPr>
          <w:rFonts w:eastAsia="Times New Roman"/>
          <w:color w:val="000000" w:themeColor="text1"/>
          <w:szCs w:val="24"/>
        </w:rPr>
        <w:t xml:space="preserve">The concern for </w:t>
      </w:r>
      <w:r w:rsidR="007E58A7">
        <w:rPr>
          <w:rFonts w:eastAsia="Times New Roman"/>
          <w:color w:val="000000" w:themeColor="text1"/>
          <w:szCs w:val="24"/>
        </w:rPr>
        <w:t>Entity</w:t>
      </w:r>
      <w:r>
        <w:rPr>
          <w:rFonts w:eastAsia="Times New Roman"/>
          <w:color w:val="000000" w:themeColor="text1"/>
          <w:szCs w:val="24"/>
        </w:rPr>
        <w:t xml:space="preserve"> 1 as it relates to this report is therefore </w:t>
      </w:r>
      <w:r w:rsidR="004621C1">
        <w:rPr>
          <w:rFonts w:eastAsia="Times New Roman"/>
          <w:color w:val="000000" w:themeColor="text1"/>
          <w:szCs w:val="24"/>
        </w:rPr>
        <w:t>t</w:t>
      </w:r>
      <w:r>
        <w:rPr>
          <w:rFonts w:eastAsia="Times New Roman"/>
          <w:color w:val="000000" w:themeColor="text1"/>
          <w:szCs w:val="24"/>
        </w:rPr>
        <w:t xml:space="preserve">he continued </w:t>
      </w:r>
      <w:r w:rsidR="004621C1">
        <w:rPr>
          <w:rFonts w:eastAsia="Times New Roman"/>
          <w:color w:val="000000" w:themeColor="text1"/>
          <w:szCs w:val="24"/>
        </w:rPr>
        <w:t>independence</w:t>
      </w:r>
      <w:r w:rsidR="00FB47F2">
        <w:rPr>
          <w:rFonts w:eastAsia="Times New Roman"/>
          <w:color w:val="000000" w:themeColor="text1"/>
          <w:szCs w:val="24"/>
        </w:rPr>
        <w:t xml:space="preserve"> </w:t>
      </w:r>
      <w:r w:rsidR="004621C1">
        <w:rPr>
          <w:rFonts w:eastAsia="Times New Roman"/>
          <w:color w:val="000000" w:themeColor="text1"/>
          <w:szCs w:val="24"/>
        </w:rPr>
        <w:t xml:space="preserve">of Lac Baker. </w:t>
      </w:r>
      <w:r w:rsidR="00041C1D">
        <w:rPr>
          <w:rFonts w:eastAsia="Times New Roman"/>
          <w:color w:val="000000" w:themeColor="text1"/>
          <w:szCs w:val="24"/>
        </w:rPr>
        <w:t xml:space="preserve">While Lac Baker </w:t>
      </w:r>
      <w:r w:rsidR="00F0752B">
        <w:rPr>
          <w:rFonts w:eastAsia="Times New Roman"/>
          <w:color w:val="000000" w:themeColor="text1"/>
          <w:szCs w:val="24"/>
        </w:rPr>
        <w:t xml:space="preserve">did have the </w:t>
      </w:r>
      <w:r w:rsidR="005D5FAA">
        <w:rPr>
          <w:rFonts w:eastAsia="Times New Roman"/>
          <w:color w:val="000000" w:themeColor="text1"/>
          <w:szCs w:val="24"/>
        </w:rPr>
        <w:t xml:space="preserve">second </w:t>
      </w:r>
      <w:r w:rsidR="00F0752B">
        <w:rPr>
          <w:rFonts w:eastAsia="Times New Roman"/>
          <w:color w:val="000000" w:themeColor="text1"/>
          <w:szCs w:val="24"/>
        </w:rPr>
        <w:t xml:space="preserve">highest voter participation rate in 2016, it is unlikely that </w:t>
      </w:r>
      <w:r w:rsidR="002D5314">
        <w:rPr>
          <w:rFonts w:eastAsia="Times New Roman"/>
          <w:color w:val="000000" w:themeColor="text1"/>
          <w:szCs w:val="24"/>
        </w:rPr>
        <w:t xml:space="preserve">the community can maintain its democratic institutions much longer. </w:t>
      </w:r>
      <w:r w:rsidR="0076064F">
        <w:rPr>
          <w:rFonts w:eastAsia="Times New Roman"/>
          <w:color w:val="000000" w:themeColor="text1"/>
          <w:szCs w:val="24"/>
        </w:rPr>
        <w:t>In 2018</w:t>
      </w:r>
      <w:r w:rsidR="00523A53">
        <w:rPr>
          <w:rFonts w:eastAsia="Times New Roman"/>
          <w:color w:val="000000" w:themeColor="text1"/>
          <w:szCs w:val="24"/>
        </w:rPr>
        <w:t xml:space="preserve">, </w:t>
      </w:r>
      <w:r w:rsidR="0014325C">
        <w:rPr>
          <w:rFonts w:eastAsia="Times New Roman"/>
          <w:color w:val="000000" w:themeColor="text1"/>
          <w:szCs w:val="24"/>
        </w:rPr>
        <w:t xml:space="preserve">Lac Baker’s byelection went uncontested, </w:t>
      </w:r>
      <w:r w:rsidR="000B4E87">
        <w:rPr>
          <w:rFonts w:eastAsia="Times New Roman"/>
          <w:color w:val="000000" w:themeColor="text1"/>
          <w:szCs w:val="24"/>
        </w:rPr>
        <w:t xml:space="preserve">and while byelections typically do garner far less interest than quadrennial elections, this 2018 result in addition to 2012’s general </w:t>
      </w:r>
      <w:r w:rsidR="00F05844">
        <w:rPr>
          <w:rFonts w:eastAsia="Times New Roman"/>
          <w:color w:val="000000" w:themeColor="text1"/>
          <w:szCs w:val="24"/>
        </w:rPr>
        <w:t>acclamation</w:t>
      </w:r>
      <w:r w:rsidR="000B4E87">
        <w:rPr>
          <w:rFonts w:eastAsia="Times New Roman"/>
          <w:color w:val="000000" w:themeColor="text1"/>
          <w:szCs w:val="24"/>
        </w:rPr>
        <w:t xml:space="preserve"> </w:t>
      </w:r>
      <w:r w:rsidR="001577AD">
        <w:rPr>
          <w:rFonts w:eastAsia="Times New Roman"/>
          <w:color w:val="000000" w:themeColor="text1"/>
          <w:szCs w:val="24"/>
        </w:rPr>
        <w:t>indicate a looming crisis for Lac Baker’s institutions</w:t>
      </w:r>
      <w:r w:rsidR="00523A53">
        <w:rPr>
          <w:rFonts w:eastAsia="Times New Roman"/>
          <w:color w:val="000000" w:themeColor="text1"/>
          <w:szCs w:val="24"/>
        </w:rPr>
        <w:t xml:space="preserve">. </w:t>
      </w:r>
      <w:r w:rsidR="004D3A27">
        <w:rPr>
          <w:rFonts w:eastAsia="Times New Roman"/>
          <w:color w:val="000000" w:themeColor="text1"/>
          <w:szCs w:val="24"/>
        </w:rPr>
        <w:t xml:space="preserve">Furthermore, Lac Baker is now entirely encompassed by the Rural Community of Haut-Madawaska, leaving little </w:t>
      </w:r>
      <w:r w:rsidR="00607394">
        <w:rPr>
          <w:rFonts w:eastAsia="Times New Roman"/>
          <w:color w:val="000000" w:themeColor="text1"/>
          <w:szCs w:val="24"/>
        </w:rPr>
        <w:t xml:space="preserve">doubt of the two communities’ economic interdependence. </w:t>
      </w:r>
      <w:r w:rsidR="00523A53">
        <w:rPr>
          <w:rFonts w:eastAsia="Times New Roman"/>
          <w:color w:val="000000" w:themeColor="text1"/>
          <w:szCs w:val="24"/>
        </w:rPr>
        <w:t xml:space="preserve">Moving forward, it is recommended that Lac Baker undertake another plebiscite and join the rest of Haut-Madawaska. </w:t>
      </w:r>
    </w:p>
    <w:p w14:paraId="3EC3BF32" w14:textId="77777777" w:rsidR="00226288" w:rsidRPr="00226288" w:rsidRDefault="00226288" w:rsidP="00226288">
      <w:pPr>
        <w:rPr>
          <w:rFonts w:eastAsia="Times New Roman"/>
          <w:b/>
          <w:bCs/>
          <w:szCs w:val="24"/>
        </w:rPr>
      </w:pPr>
      <w:r w:rsidRPr="00226288">
        <w:rPr>
          <w:rFonts w:eastAsia="Times New Roman"/>
          <w:b/>
          <w:bCs/>
          <w:szCs w:val="24"/>
        </w:rPr>
        <w:t>Financial Base</w:t>
      </w:r>
    </w:p>
    <w:p w14:paraId="768AB3F5" w14:textId="7F16FFCA" w:rsidR="00226288" w:rsidRPr="00226288" w:rsidRDefault="0038034B" w:rsidP="00226288">
      <w:r>
        <w:lastRenderedPageBreak/>
        <w:t>While</w:t>
      </w:r>
      <w:r w:rsidR="00204841">
        <w:t xml:space="preserve"> </w:t>
      </w:r>
      <w:r w:rsidR="00FC0499">
        <w:t>the majority of proposed</w:t>
      </w:r>
      <w:r>
        <w:t xml:space="preserve"> </w:t>
      </w:r>
      <w:r w:rsidR="00226288" w:rsidRPr="00226288">
        <w:t xml:space="preserve">Entity </w:t>
      </w:r>
      <w:r w:rsidR="00234790">
        <w:t>1</w:t>
      </w:r>
      <w:r w:rsidR="00FC0499">
        <w:t xml:space="preserve"> has already amalgamated into a single municipality, the </w:t>
      </w:r>
      <w:r w:rsidR="002E3096">
        <w:t xml:space="preserve">benefits of the </w:t>
      </w:r>
      <w:r w:rsidR="00FC0499">
        <w:t xml:space="preserve">new framework </w:t>
      </w:r>
      <w:r w:rsidR="002E3096">
        <w:t xml:space="preserve">expand beyond those </w:t>
      </w:r>
      <w:r w:rsidR="004D47D4">
        <w:t xml:space="preserve">offered by </w:t>
      </w:r>
      <w:r w:rsidR="003870CF">
        <w:t>Rural Community status. Entity 1 would</w:t>
      </w:r>
      <w:r w:rsidR="00226288" w:rsidRPr="00226288">
        <w:t xml:space="preserve"> have a financial base capable of service provision beyond a simple aggregation of the assessed value of each constituent municipality and LSD. Under the new framework, municipal revenues will come from a combination of equalization payments from the provincial government, municipal property taxes, and other user fees related to services like water and wastewater usage. </w:t>
      </w:r>
    </w:p>
    <w:p w14:paraId="33E6564F" w14:textId="67E27C4B" w:rsidR="007B52AD" w:rsidRDefault="00226288" w:rsidP="00226288">
      <w:r w:rsidRPr="00226288">
        <w:t>Because its population is below 10</w:t>
      </w:r>
      <w:r w:rsidR="007531E7">
        <w:t>,</w:t>
      </w:r>
      <w:r w:rsidRPr="00226288">
        <w:t xml:space="preserve">000, Entity </w:t>
      </w:r>
      <w:r w:rsidR="00234790">
        <w:t>1</w:t>
      </w:r>
      <w:r w:rsidRPr="00226288">
        <w:t xml:space="preserve"> would qualify as a ‘Group A’ municipality. </w:t>
      </w:r>
      <w:r w:rsidR="00911C4B">
        <w:t xml:space="preserve">However, because Entity 1’s </w:t>
      </w:r>
      <w:r w:rsidR="005A1024">
        <w:t xml:space="preserve">property assessment base per capita </w:t>
      </w:r>
      <w:r w:rsidR="00002A54">
        <w:t>would be greater</w:t>
      </w:r>
      <w:r w:rsidR="005A1024">
        <w:t xml:space="preserve"> than </w:t>
      </w:r>
      <w:r w:rsidR="00002A54">
        <w:t xml:space="preserve">the group average, </w:t>
      </w:r>
      <w:r w:rsidR="005A1024">
        <w:t>it w</w:t>
      </w:r>
      <w:r w:rsidR="00002A54">
        <w:t>ould</w:t>
      </w:r>
      <w:r w:rsidR="005A1024">
        <w:t xml:space="preserve"> not require additional equalization funds to </w:t>
      </w:r>
      <w:r w:rsidR="00783D3F">
        <w:t xml:space="preserve">operate effectively. </w:t>
      </w:r>
      <w:r w:rsidR="001270D0">
        <w:t xml:space="preserve">Like a Rural Community, the proposed municipal entity will have </w:t>
      </w:r>
      <w:r w:rsidR="008E37E8">
        <w:t>a property assessment base of at least $200 million</w:t>
      </w:r>
      <w:r w:rsidR="007B52AD">
        <w:t xml:space="preserve">, but </w:t>
      </w:r>
      <w:r w:rsidRPr="00226288">
        <w:t xml:space="preserve">Entity </w:t>
      </w:r>
      <w:r w:rsidR="00234790">
        <w:t>1</w:t>
      </w:r>
      <w:r w:rsidRPr="00226288">
        <w:t xml:space="preserve"> will have</w:t>
      </w:r>
      <w:r w:rsidR="008E37E8">
        <w:t xml:space="preserve"> a far greater tax warrant than existing </w:t>
      </w:r>
      <w:r w:rsidR="007B52AD">
        <w:t>Rural Communities or municipalities</w:t>
      </w:r>
      <w:r w:rsidRPr="00226288">
        <w:t xml:space="preserve">. </w:t>
      </w:r>
      <w:r w:rsidR="00112985">
        <w:t xml:space="preserve">With the tax room transfer from the provincial government to municipal governments included in the proposed new framework, </w:t>
      </w:r>
      <w:r w:rsidR="007B52AD">
        <w:t xml:space="preserve">Entity 1’s </w:t>
      </w:r>
      <w:r w:rsidR="003424B6">
        <w:t>assessment base of $320 million</w:t>
      </w:r>
      <w:r w:rsidR="006A1366">
        <w:t xml:space="preserve"> </w:t>
      </w:r>
      <w:r w:rsidR="00112985">
        <w:t xml:space="preserve">will be able to yield more revenue than </w:t>
      </w:r>
      <w:r w:rsidR="00987720">
        <w:t>it could today</w:t>
      </w:r>
      <w:r w:rsidR="00002A54">
        <w:t xml:space="preserve">. </w:t>
      </w:r>
      <w:r w:rsidR="00DC2914">
        <w:t xml:space="preserve">Equal Opportunity among </w:t>
      </w:r>
      <w:r w:rsidR="00F17BA3">
        <w:t>municipalities</w:t>
      </w:r>
      <w:r w:rsidR="00DC2914">
        <w:t xml:space="preserve"> remains a priority in the new framework</w:t>
      </w:r>
      <w:r w:rsidR="003F43F2">
        <w:t xml:space="preserve">, but the primary guarantor of said equality </w:t>
      </w:r>
      <w:r w:rsidR="000411E3">
        <w:t xml:space="preserve">would be </w:t>
      </w:r>
      <w:r w:rsidR="00F17BA3">
        <w:t>tax warrants rather than equalization payments.</w:t>
      </w:r>
    </w:p>
    <w:p w14:paraId="61B53BEF" w14:textId="5D4B7C24" w:rsidR="00226288" w:rsidRPr="00226288" w:rsidRDefault="00226288" w:rsidP="00226288">
      <w:r w:rsidRPr="00226288">
        <w:t xml:space="preserve">Of course, this tax room transfer does not necessitate that property tax rates will increase by $1.50 per $100 of valuation across Entity </w:t>
      </w:r>
      <w:r w:rsidR="00234790">
        <w:t>1</w:t>
      </w:r>
      <w:r w:rsidRPr="00226288">
        <w:t xml:space="preserve">, nor does it indicate that the entire municipality will operate with one uniform property tax rate. </w:t>
      </w:r>
      <w:r w:rsidRPr="00226288">
        <w:rPr>
          <w:rFonts w:eastAsia="Times New Roman"/>
          <w:szCs w:val="24"/>
        </w:rPr>
        <w:t xml:space="preserve">Because Entity </w:t>
      </w:r>
      <w:r w:rsidR="00234790">
        <w:rPr>
          <w:rFonts w:eastAsia="Times New Roman"/>
          <w:szCs w:val="24"/>
        </w:rPr>
        <w:t>1</w:t>
      </w:r>
      <w:r w:rsidRPr="00226288">
        <w:rPr>
          <w:rFonts w:eastAsia="Times New Roman"/>
          <w:szCs w:val="24"/>
        </w:rPr>
        <w:t xml:space="preserve"> would be composed of suburban and rural populations and since the level of local services may vary considerably within the same municipality, existing provisions regarding differentiated tax rates within the same municipality would need to be used. Residents within each municipality should be taxed for the level of services they receive.</w:t>
      </w:r>
      <w:r w:rsidRPr="00226288">
        <w:rPr>
          <w:rFonts w:eastAsia="Times New Roman"/>
          <w:szCs w:val="24"/>
          <w:vertAlign w:val="superscript"/>
        </w:rPr>
        <w:footnoteReference w:id="2"/>
      </w:r>
    </w:p>
    <w:p w14:paraId="00C93790" w14:textId="1BE1583F" w:rsidR="00226288" w:rsidRPr="00226288" w:rsidRDefault="00226288" w:rsidP="00226288">
      <w:r w:rsidRPr="00226288">
        <w:t>As has been seen in many municipalities around the province, municipalities can adopt differing tax rates for different areas under their jurisdiction. For example, while Eel River Crossing’s property tax rate in 201</w:t>
      </w:r>
      <w:r w:rsidR="00234790">
        <w:t>1</w:t>
      </w:r>
      <w:r w:rsidRPr="00226288">
        <w:t xml:space="preserve"> was $1.32 per $100, each former LSD had different, lower property tax rates appropriate to their circumstances. Similar situations can be found across the province, with some cities even imposing different tax rates for those inside and outside the urban center. As the communities within Entity </w:t>
      </w:r>
      <w:r w:rsidR="00234790">
        <w:t>1</w:t>
      </w:r>
      <w:r w:rsidRPr="00226288">
        <w:t xml:space="preserve"> move forward together, it is entirely possible that each former local governance entity maintain their own respective property tax regimes, though strict adherence to such a scheme would fail to take advantage of the opportunities offered by their amalgamation. </w:t>
      </w:r>
    </w:p>
    <w:p w14:paraId="42654CD4" w14:textId="26977F9F" w:rsidR="00226288" w:rsidRPr="00226288" w:rsidRDefault="00226288" w:rsidP="00226288">
      <w:r w:rsidRPr="00226288">
        <w:t xml:space="preserve">Overall, then, Entity </w:t>
      </w:r>
      <w:r w:rsidR="00234790">
        <w:t>1</w:t>
      </w:r>
      <w:r w:rsidRPr="00226288">
        <w:t xml:space="preserve"> would have a financial base appropriate to its size and population. With such a financial base, the municipal entity could be as ambitious or cautious in its service provision as its residents please. </w:t>
      </w:r>
    </w:p>
    <w:p w14:paraId="43413FBA" w14:textId="77777777" w:rsidR="00226288" w:rsidRPr="00226288" w:rsidRDefault="00226288" w:rsidP="00226288">
      <w:pPr>
        <w:rPr>
          <w:b/>
          <w:bCs/>
        </w:rPr>
      </w:pPr>
      <w:r w:rsidRPr="00226288">
        <w:rPr>
          <w:b/>
          <w:bCs/>
        </w:rPr>
        <w:t>Division of Municipal and Provincial Responsibilities</w:t>
      </w:r>
    </w:p>
    <w:p w14:paraId="3936984A" w14:textId="515673C8" w:rsidR="00226288" w:rsidRPr="00226288" w:rsidRDefault="00226288" w:rsidP="00226288">
      <w:r w:rsidRPr="00226288">
        <w:rPr>
          <w:rFonts w:eastAsia="Times New Roman"/>
          <w:szCs w:val="24"/>
        </w:rPr>
        <w:lastRenderedPageBreak/>
        <w:t xml:space="preserve">In addition to </w:t>
      </w:r>
      <w:r w:rsidRPr="00226288">
        <w:t>policing, emergency measures planning,</w:t>
      </w:r>
      <w:r w:rsidRPr="00226288">
        <w:rPr>
          <w:rFonts w:eastAsia="Times New Roman"/>
          <w:szCs w:val="24"/>
        </w:rPr>
        <w:t xml:space="preserve"> fire prevention and suppression, roads, and garbage disposal, a municipality may choose to enlarge its role and provide a great number of other services. Many municipalities also take responsibility for local arts and culture, parks and recreation, public transportation, and more. Whether or not this sort of expansion is done is entirely up to the residents of Entity </w:t>
      </w:r>
      <w:r w:rsidR="00234790">
        <w:rPr>
          <w:rFonts w:eastAsia="Times New Roman"/>
          <w:szCs w:val="24"/>
        </w:rPr>
        <w:t>1</w:t>
      </w:r>
      <w:r w:rsidRPr="00226288">
        <w:rPr>
          <w:rFonts w:eastAsia="Times New Roman"/>
          <w:szCs w:val="24"/>
        </w:rPr>
        <w:t xml:space="preserve">, and the tax rates of the entity would reflect this level of service. </w:t>
      </w:r>
    </w:p>
    <w:p w14:paraId="7E7D20ED" w14:textId="1D36B90F" w:rsidR="00226288" w:rsidRPr="00226288" w:rsidRDefault="00226288" w:rsidP="00226288">
      <w:pPr>
        <w:rPr>
          <w:rFonts w:eastAsia="Times New Roman"/>
          <w:szCs w:val="24"/>
        </w:rPr>
      </w:pPr>
      <w:r w:rsidRPr="00226288">
        <w:rPr>
          <w:rFonts w:eastAsia="Times New Roman"/>
          <w:szCs w:val="24"/>
        </w:rPr>
        <w:t xml:space="preserve">Many of these services, however, would be better served being provided at the regional rather than local level. Rather than leaving some services in the care of the province, the new framework provides Regional Service Districts within which municipalities can collaborate on such basic services as policing, waste management, economic development, and land-use planning. Collaboration on these issues will further reduce cost for services, allowing property tax rates to remain at a reasonable rate. </w:t>
      </w:r>
    </w:p>
    <w:p w14:paraId="21652055" w14:textId="46EBFE1C" w:rsidR="00226288" w:rsidRPr="00226288" w:rsidRDefault="00637D62" w:rsidP="00226288">
      <w:pPr>
        <w:rPr>
          <w:rFonts w:eastAsia="Times New Roman"/>
          <w:szCs w:val="24"/>
        </w:rPr>
      </w:pPr>
      <w:r w:rsidRPr="00226288">
        <w:rPr>
          <w:noProof/>
          <w:lang w:val="en-CA" w:eastAsia="en-CA"/>
        </w:rPr>
        <w:drawing>
          <wp:anchor distT="0" distB="0" distL="114300" distR="114300" simplePos="0" relativeHeight="251662336" behindDoc="0" locked="0" layoutInCell="1" allowOverlap="1" wp14:anchorId="13DA9BEB" wp14:editId="11801F59">
            <wp:simplePos x="0" y="0"/>
            <wp:positionH relativeFrom="column">
              <wp:posOffset>2447331</wp:posOffset>
            </wp:positionH>
            <wp:positionV relativeFrom="paragraph">
              <wp:posOffset>618</wp:posOffset>
            </wp:positionV>
            <wp:extent cx="3495675" cy="3163570"/>
            <wp:effectExtent l="0" t="0" r="9525" b="0"/>
            <wp:wrapThrough wrapText="bothSides">
              <wp:wrapPolygon edited="0">
                <wp:start x="118" y="0"/>
                <wp:lineTo x="0" y="21461"/>
                <wp:lineTo x="21541" y="21461"/>
                <wp:lineTo x="21541" y="0"/>
                <wp:lineTo x="11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868" t="-920" r="2641" b="2154"/>
                    <a:stretch/>
                  </pic:blipFill>
                  <pic:spPr bwMode="auto">
                    <a:xfrm>
                      <a:off x="0" y="0"/>
                      <a:ext cx="3495675" cy="3163570"/>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6288" w:rsidRPr="00226288">
        <w:rPr>
          <w:rFonts w:eastAsia="Times New Roman"/>
          <w:szCs w:val="24"/>
        </w:rPr>
        <w:t xml:space="preserve">Entity </w:t>
      </w:r>
      <w:r w:rsidR="00234790">
        <w:rPr>
          <w:rFonts w:eastAsia="Times New Roman"/>
          <w:szCs w:val="24"/>
        </w:rPr>
        <w:t>1</w:t>
      </w:r>
      <w:r w:rsidR="00226288" w:rsidRPr="00226288">
        <w:rPr>
          <w:rFonts w:eastAsia="Times New Roman"/>
          <w:szCs w:val="24"/>
        </w:rPr>
        <w:t xml:space="preserve"> would belong to RSD </w:t>
      </w:r>
      <w:r w:rsidR="00215178">
        <w:rPr>
          <w:rFonts w:eastAsia="Times New Roman"/>
          <w:szCs w:val="24"/>
        </w:rPr>
        <w:t>1</w:t>
      </w:r>
      <w:r w:rsidR="00226288" w:rsidRPr="00226288">
        <w:rPr>
          <w:rFonts w:eastAsia="Times New Roman"/>
          <w:szCs w:val="24"/>
        </w:rPr>
        <w:t xml:space="preserve"> along with its </w:t>
      </w:r>
      <w:proofErr w:type="spellStart"/>
      <w:r w:rsidR="00226288" w:rsidRPr="00226288">
        <w:rPr>
          <w:rFonts w:eastAsia="Times New Roman"/>
          <w:szCs w:val="24"/>
        </w:rPr>
        <w:t>neighbours</w:t>
      </w:r>
      <w:proofErr w:type="spellEnd"/>
      <w:r w:rsidR="00226288" w:rsidRPr="00226288">
        <w:rPr>
          <w:rFonts w:eastAsia="Times New Roman"/>
          <w:szCs w:val="24"/>
        </w:rPr>
        <w:t xml:space="preserve"> Entities </w:t>
      </w:r>
      <w:r w:rsidR="00400690">
        <w:rPr>
          <w:rFonts w:eastAsia="Times New Roman"/>
          <w:szCs w:val="24"/>
        </w:rPr>
        <w:t>2 to</w:t>
      </w:r>
      <w:r w:rsidR="003D3F4B">
        <w:rPr>
          <w:rFonts w:eastAsia="Times New Roman"/>
          <w:szCs w:val="24"/>
        </w:rPr>
        <w:t xml:space="preserve"> 6</w:t>
      </w:r>
      <w:r w:rsidR="008E30F8">
        <w:rPr>
          <w:rFonts w:eastAsia="Times New Roman"/>
          <w:szCs w:val="24"/>
        </w:rPr>
        <w:t>, covering Madawaska</w:t>
      </w:r>
      <w:r w:rsidR="00BA2A48">
        <w:rPr>
          <w:rFonts w:eastAsia="Times New Roman"/>
          <w:szCs w:val="24"/>
        </w:rPr>
        <w:t xml:space="preserve">, Victoria </w:t>
      </w:r>
      <w:r w:rsidR="00D746A4">
        <w:rPr>
          <w:rFonts w:eastAsia="Times New Roman"/>
          <w:szCs w:val="24"/>
        </w:rPr>
        <w:t>and a portion of Restigouche county</w:t>
      </w:r>
      <w:r w:rsidR="00226288" w:rsidRPr="00226288">
        <w:rPr>
          <w:rFonts w:eastAsia="Times New Roman"/>
          <w:szCs w:val="24"/>
        </w:rPr>
        <w:t xml:space="preserve">. As with each municipal entity, RSDs could conceivably be named, but this would be left to each community to determine for itself. All </w:t>
      </w:r>
      <w:r w:rsidR="00FC47CF">
        <w:rPr>
          <w:rFonts w:eastAsia="Times New Roman"/>
          <w:szCs w:val="24"/>
        </w:rPr>
        <w:t>6</w:t>
      </w:r>
      <w:r w:rsidR="00226288" w:rsidRPr="00226288">
        <w:rPr>
          <w:rFonts w:eastAsia="Times New Roman"/>
          <w:szCs w:val="24"/>
        </w:rPr>
        <w:t xml:space="preserve"> entities would b</w:t>
      </w:r>
      <w:r w:rsidR="00FE7ED2">
        <w:rPr>
          <w:rFonts w:eastAsia="Times New Roman"/>
          <w:szCs w:val="24"/>
        </w:rPr>
        <w:t xml:space="preserve">e </w:t>
      </w:r>
      <w:r w:rsidR="00226288" w:rsidRPr="00226288">
        <w:rPr>
          <w:rFonts w:eastAsia="Times New Roman"/>
          <w:szCs w:val="24"/>
        </w:rPr>
        <w:t xml:space="preserve">partners in the provision of regional services, with each contributing in accordance with their respective demographic and tax bases. </w:t>
      </w:r>
    </w:p>
    <w:p w14:paraId="00AC1827" w14:textId="0249961D" w:rsidR="00215178" w:rsidRDefault="00226288" w:rsidP="00226288">
      <w:pPr>
        <w:rPr>
          <w:rFonts w:eastAsia="Times New Roman"/>
          <w:szCs w:val="24"/>
        </w:rPr>
      </w:pPr>
      <w:r w:rsidRPr="00226288">
        <w:rPr>
          <w:rFonts w:eastAsia="Times New Roman"/>
          <w:szCs w:val="24"/>
        </w:rPr>
        <w:t>While this region is far too large to be incorporated into a single municipality, the populations nonetheless have a great deal of shared experiences and challenges</w:t>
      </w:r>
      <w:r w:rsidR="00215178">
        <w:rPr>
          <w:rFonts w:eastAsia="Times New Roman"/>
          <w:szCs w:val="24"/>
        </w:rPr>
        <w:t xml:space="preserve">. </w:t>
      </w:r>
    </w:p>
    <w:p w14:paraId="035C75A3" w14:textId="66B971BE" w:rsidR="002F62E8" w:rsidRDefault="00C401EC" w:rsidP="00226288">
      <w:pPr>
        <w:rPr>
          <w:rFonts w:eastAsia="Times New Roman"/>
          <w:szCs w:val="24"/>
        </w:rPr>
      </w:pPr>
      <w:r>
        <w:rPr>
          <w:rFonts w:eastAsia="Times New Roman"/>
          <w:szCs w:val="24"/>
        </w:rPr>
        <w:t>The commuting population of RSD 1 is relatively evenly split between those who commute to work within their own community (4</w:t>
      </w:r>
      <w:r w:rsidR="00E41114">
        <w:rPr>
          <w:rFonts w:eastAsia="Times New Roman"/>
          <w:szCs w:val="24"/>
        </w:rPr>
        <w:t xml:space="preserve">6%) and those who commute to a different community within the same </w:t>
      </w:r>
      <w:r w:rsidR="00043416">
        <w:rPr>
          <w:rFonts w:eastAsia="Times New Roman"/>
          <w:szCs w:val="24"/>
        </w:rPr>
        <w:t>county</w:t>
      </w:r>
      <w:r w:rsidR="00342506">
        <w:rPr>
          <w:rFonts w:eastAsia="Times New Roman"/>
          <w:szCs w:val="24"/>
        </w:rPr>
        <w:t xml:space="preserve"> (40%)</w:t>
      </w:r>
      <w:r w:rsidR="00B10FEA">
        <w:rPr>
          <w:rFonts w:eastAsia="Times New Roman"/>
          <w:szCs w:val="24"/>
        </w:rPr>
        <w:t xml:space="preserve">. </w:t>
      </w:r>
      <w:r w:rsidR="00B57B21">
        <w:rPr>
          <w:rFonts w:eastAsia="Times New Roman"/>
          <w:szCs w:val="24"/>
        </w:rPr>
        <w:t>Furthermore</w:t>
      </w:r>
      <w:r w:rsidR="00B10FEA">
        <w:rPr>
          <w:rFonts w:eastAsia="Times New Roman"/>
          <w:szCs w:val="24"/>
        </w:rPr>
        <w:t>, 1</w:t>
      </w:r>
      <w:r w:rsidR="005404CF">
        <w:rPr>
          <w:rFonts w:eastAsia="Times New Roman"/>
          <w:szCs w:val="24"/>
        </w:rPr>
        <w:t xml:space="preserve">0% </w:t>
      </w:r>
      <w:r w:rsidR="00B10FEA">
        <w:rPr>
          <w:rFonts w:eastAsia="Times New Roman"/>
          <w:szCs w:val="24"/>
        </w:rPr>
        <w:t xml:space="preserve">of the population commute </w:t>
      </w:r>
      <w:r w:rsidR="005404CF">
        <w:rPr>
          <w:rFonts w:eastAsia="Times New Roman"/>
          <w:szCs w:val="24"/>
        </w:rPr>
        <w:t>to a different county</w:t>
      </w:r>
      <w:r w:rsidR="00B57B21">
        <w:rPr>
          <w:rFonts w:eastAsia="Times New Roman"/>
          <w:szCs w:val="24"/>
        </w:rPr>
        <w:t xml:space="preserve"> entirely</w:t>
      </w:r>
      <w:r w:rsidR="00342506">
        <w:rPr>
          <w:rFonts w:eastAsia="Times New Roman"/>
          <w:szCs w:val="24"/>
        </w:rPr>
        <w:t xml:space="preserve">. </w:t>
      </w:r>
      <w:r w:rsidR="005404CF">
        <w:rPr>
          <w:rFonts w:eastAsia="Times New Roman"/>
          <w:szCs w:val="24"/>
        </w:rPr>
        <w:t>Th</w:t>
      </w:r>
      <w:r w:rsidR="00D9039A">
        <w:rPr>
          <w:rFonts w:eastAsia="Times New Roman"/>
          <w:szCs w:val="24"/>
        </w:rPr>
        <w:t xml:space="preserve">e proposed entities with the highest proportion of their commuting populations travelling to different counties are </w:t>
      </w:r>
      <w:r w:rsidR="009D01C7">
        <w:rPr>
          <w:rFonts w:eastAsia="Times New Roman"/>
          <w:szCs w:val="24"/>
        </w:rPr>
        <w:t>Entities</w:t>
      </w:r>
      <w:r w:rsidR="00D9039A">
        <w:rPr>
          <w:rFonts w:eastAsia="Times New Roman"/>
          <w:szCs w:val="24"/>
        </w:rPr>
        <w:t xml:space="preserve"> 3 &amp; 4, indicating </w:t>
      </w:r>
      <w:r w:rsidR="00F32BA5">
        <w:rPr>
          <w:rFonts w:eastAsia="Times New Roman"/>
          <w:szCs w:val="24"/>
        </w:rPr>
        <w:t>that</w:t>
      </w:r>
      <w:r w:rsidR="000A47E0">
        <w:rPr>
          <w:rFonts w:eastAsia="Times New Roman"/>
          <w:szCs w:val="24"/>
        </w:rPr>
        <w:t xml:space="preserve"> the</w:t>
      </w:r>
      <w:r w:rsidR="00166EE4">
        <w:rPr>
          <w:rFonts w:eastAsia="Times New Roman"/>
          <w:szCs w:val="24"/>
        </w:rPr>
        <w:t xml:space="preserve"> Madawaska</w:t>
      </w:r>
      <w:r w:rsidR="00A51279">
        <w:rPr>
          <w:rFonts w:eastAsia="Times New Roman"/>
          <w:szCs w:val="24"/>
        </w:rPr>
        <w:t xml:space="preserve"> and Victoria counties</w:t>
      </w:r>
      <w:r w:rsidR="000A47E0">
        <w:rPr>
          <w:rFonts w:eastAsia="Times New Roman"/>
          <w:szCs w:val="24"/>
        </w:rPr>
        <w:t xml:space="preserve"> are particularly suited to collaborative economic planning.</w:t>
      </w:r>
      <w:r w:rsidR="00A51279">
        <w:rPr>
          <w:rFonts w:eastAsia="Times New Roman"/>
          <w:szCs w:val="24"/>
        </w:rPr>
        <w:t xml:space="preserve"> </w:t>
      </w:r>
      <w:r w:rsidR="00342506">
        <w:rPr>
          <w:rFonts w:eastAsia="Times New Roman"/>
          <w:szCs w:val="24"/>
        </w:rPr>
        <w:t>It is clear, therefore, that economic hubs such as Edmun</w:t>
      </w:r>
      <w:r w:rsidR="00A42050">
        <w:rPr>
          <w:rFonts w:eastAsia="Times New Roman"/>
          <w:szCs w:val="24"/>
        </w:rPr>
        <w:t>d</w:t>
      </w:r>
      <w:r w:rsidR="00342506">
        <w:rPr>
          <w:rFonts w:eastAsia="Times New Roman"/>
          <w:szCs w:val="24"/>
        </w:rPr>
        <w:t>ston and Grand Falls are important sources of employment for the region as a whole</w:t>
      </w:r>
      <w:r w:rsidR="00A47308">
        <w:rPr>
          <w:rFonts w:eastAsia="Times New Roman"/>
          <w:szCs w:val="24"/>
        </w:rPr>
        <w:t xml:space="preserve">, and such economic interconnection </w:t>
      </w:r>
      <w:r w:rsidR="002F62E8">
        <w:rPr>
          <w:rFonts w:eastAsia="Times New Roman"/>
          <w:szCs w:val="24"/>
        </w:rPr>
        <w:t xml:space="preserve">requires collaboration in land use planning and economic development policy.  </w:t>
      </w:r>
    </w:p>
    <w:p w14:paraId="3F9616A6" w14:textId="62A79A0C" w:rsidR="00226288" w:rsidRPr="00226288" w:rsidRDefault="00226288" w:rsidP="00226288">
      <w:pPr>
        <w:rPr>
          <w:rFonts w:eastAsia="Times New Roman"/>
          <w:szCs w:val="24"/>
        </w:rPr>
      </w:pPr>
      <w:r w:rsidRPr="00226288">
        <w:rPr>
          <w:rFonts w:eastAsia="Times New Roman"/>
          <w:szCs w:val="24"/>
        </w:rPr>
        <w:lastRenderedPageBreak/>
        <w:t xml:space="preserve">Entity </w:t>
      </w:r>
      <w:r w:rsidR="00234790">
        <w:rPr>
          <w:rFonts w:eastAsia="Times New Roman"/>
          <w:szCs w:val="24"/>
        </w:rPr>
        <w:t>1</w:t>
      </w:r>
      <w:r w:rsidRPr="00226288">
        <w:rPr>
          <w:rFonts w:eastAsia="Times New Roman"/>
          <w:szCs w:val="24"/>
        </w:rPr>
        <w:t xml:space="preserve"> is especially dependent on regional cooperation and interdependence, with 7</w:t>
      </w:r>
      <w:r w:rsidR="004D50FF">
        <w:rPr>
          <w:rFonts w:eastAsia="Times New Roman"/>
          <w:szCs w:val="24"/>
        </w:rPr>
        <w:t>5</w:t>
      </w:r>
      <w:r w:rsidRPr="00226288">
        <w:rPr>
          <w:rFonts w:eastAsia="Times New Roman"/>
          <w:szCs w:val="24"/>
        </w:rPr>
        <w:t xml:space="preserve">% of the </w:t>
      </w:r>
      <w:proofErr w:type="spellStart"/>
      <w:r w:rsidRPr="00226288">
        <w:rPr>
          <w:rFonts w:eastAsia="Times New Roman"/>
          <w:szCs w:val="24"/>
        </w:rPr>
        <w:t>labour</w:t>
      </w:r>
      <w:proofErr w:type="spellEnd"/>
      <w:r w:rsidRPr="00226288">
        <w:rPr>
          <w:rFonts w:eastAsia="Times New Roman"/>
          <w:szCs w:val="24"/>
        </w:rPr>
        <w:t xml:space="preserve"> force commuting to a different community within the RSD</w:t>
      </w:r>
      <w:r w:rsidR="00916094">
        <w:rPr>
          <w:rFonts w:eastAsia="Times New Roman"/>
          <w:szCs w:val="24"/>
        </w:rPr>
        <w:t>. Based on its physical proximity to Edmun</w:t>
      </w:r>
      <w:r w:rsidR="00A42050">
        <w:rPr>
          <w:rFonts w:eastAsia="Times New Roman"/>
          <w:szCs w:val="24"/>
        </w:rPr>
        <w:t>d</w:t>
      </w:r>
      <w:r w:rsidR="00916094">
        <w:rPr>
          <w:rFonts w:eastAsia="Times New Roman"/>
          <w:szCs w:val="24"/>
        </w:rPr>
        <w:t>ston, it’s probably that much of these commuters work in the nearby city</w:t>
      </w:r>
      <w:r w:rsidRPr="00226288">
        <w:rPr>
          <w:rFonts w:eastAsia="Times New Roman"/>
          <w:szCs w:val="24"/>
        </w:rPr>
        <w:t xml:space="preserve">. </w:t>
      </w:r>
      <w:r w:rsidR="00612EFD">
        <w:rPr>
          <w:rFonts w:eastAsia="Times New Roman"/>
          <w:szCs w:val="24"/>
        </w:rPr>
        <w:t xml:space="preserve">In addition to common planning initiatives, collaborative service provision </w:t>
      </w:r>
      <w:r w:rsidR="003459DA">
        <w:rPr>
          <w:rFonts w:eastAsia="Times New Roman"/>
          <w:szCs w:val="24"/>
        </w:rPr>
        <w:t xml:space="preserve">would therefore be of </w:t>
      </w:r>
      <w:r w:rsidR="0072646B">
        <w:rPr>
          <w:rFonts w:eastAsia="Times New Roman"/>
          <w:szCs w:val="24"/>
        </w:rPr>
        <w:t xml:space="preserve">enormous </w:t>
      </w:r>
      <w:r w:rsidR="003459DA">
        <w:rPr>
          <w:rFonts w:eastAsia="Times New Roman"/>
          <w:szCs w:val="24"/>
        </w:rPr>
        <w:t xml:space="preserve">help to the comparatively </w:t>
      </w:r>
      <w:r w:rsidR="0072646B">
        <w:rPr>
          <w:rFonts w:eastAsia="Times New Roman"/>
          <w:szCs w:val="24"/>
        </w:rPr>
        <w:t>small Entity 1.</w:t>
      </w:r>
      <w:r w:rsidRPr="00226288">
        <w:rPr>
          <w:rFonts w:eastAsia="Times New Roman"/>
          <w:szCs w:val="24"/>
        </w:rPr>
        <w:t xml:space="preserve"> </w:t>
      </w:r>
    </w:p>
    <w:p w14:paraId="7BEFB9DD" w14:textId="273CD87A" w:rsidR="00226288" w:rsidRPr="00226288" w:rsidRDefault="00226288" w:rsidP="00226288">
      <w:pPr>
        <w:rPr>
          <w:rFonts w:eastAsia="Times New Roman"/>
          <w:szCs w:val="24"/>
        </w:rPr>
      </w:pPr>
      <w:r w:rsidRPr="00226288">
        <w:rPr>
          <w:rFonts w:eastAsia="Times New Roman"/>
          <w:szCs w:val="24"/>
        </w:rPr>
        <w:t>The new framework would therefor</w:t>
      </w:r>
      <w:r w:rsidR="00A42050">
        <w:rPr>
          <w:rFonts w:eastAsia="Times New Roman"/>
          <w:szCs w:val="24"/>
        </w:rPr>
        <w:t>e</w:t>
      </w:r>
      <w:r w:rsidRPr="00226288">
        <w:rPr>
          <w:rFonts w:eastAsia="Times New Roman"/>
          <w:szCs w:val="24"/>
        </w:rPr>
        <w:t xml:space="preserve"> clarify the distinction between municipal and provincial responsibilities. While today the service provision of roads, animal control, and policing is dependent on whether or not you live in an incorporated or unincorporated local governance entity, in the new framework, all of these services will be provided by the municipal government. When the residents know exactly who is accountable for what, services will improve. </w:t>
      </w:r>
    </w:p>
    <w:p w14:paraId="36BA5224" w14:textId="77777777" w:rsidR="00226288" w:rsidRPr="00226288" w:rsidRDefault="00226288" w:rsidP="00226288">
      <w:pPr>
        <w:rPr>
          <w:rFonts w:eastAsia="Times New Roman"/>
          <w:b/>
          <w:bCs/>
          <w:szCs w:val="24"/>
        </w:rPr>
      </w:pPr>
      <w:r w:rsidRPr="00226288">
        <w:rPr>
          <w:rFonts w:eastAsia="Times New Roman"/>
          <w:b/>
          <w:bCs/>
          <w:szCs w:val="24"/>
        </w:rPr>
        <w:t>Summation</w:t>
      </w:r>
    </w:p>
    <w:p w14:paraId="24EDF67D" w14:textId="67698D91" w:rsidR="00226288" w:rsidRPr="00226288" w:rsidRDefault="00226288" w:rsidP="00226288">
      <w:pPr>
        <w:rPr>
          <w:rFonts w:eastAsia="Times New Roman"/>
          <w:szCs w:val="24"/>
        </w:rPr>
      </w:pPr>
      <w:r w:rsidRPr="00226288">
        <w:rPr>
          <w:rFonts w:eastAsia="Times New Roman"/>
          <w:szCs w:val="24"/>
        </w:rPr>
        <w:t xml:space="preserve">Overall, Entity </w:t>
      </w:r>
      <w:r w:rsidR="00234790">
        <w:rPr>
          <w:rFonts w:eastAsia="Times New Roman"/>
          <w:szCs w:val="24"/>
        </w:rPr>
        <w:t>1</w:t>
      </w:r>
      <w:r w:rsidRPr="00226288">
        <w:rPr>
          <w:rFonts w:eastAsia="Times New Roman"/>
          <w:szCs w:val="24"/>
        </w:rPr>
        <w:t xml:space="preserve"> would allow all residents of the </w:t>
      </w:r>
      <w:r w:rsidR="0086227A">
        <w:rPr>
          <w:rFonts w:eastAsia="Times New Roman"/>
          <w:szCs w:val="24"/>
        </w:rPr>
        <w:t xml:space="preserve">province’s northern panhandle </w:t>
      </w:r>
      <w:r w:rsidRPr="00226288">
        <w:rPr>
          <w:rFonts w:eastAsia="Times New Roman"/>
          <w:szCs w:val="24"/>
        </w:rPr>
        <w:t>to enjoy a comparable level of service in correlation with their level of taxation, to feel represented at a local level and have a real say in how their property tax dollars are being spent, and create a municipal entity that is sustainable enough to navigate the demographic and economic challenges of the 21</w:t>
      </w:r>
      <w:r w:rsidRPr="00226288">
        <w:rPr>
          <w:rFonts w:eastAsia="Times New Roman"/>
          <w:szCs w:val="24"/>
          <w:vertAlign w:val="superscript"/>
        </w:rPr>
        <w:t>st</w:t>
      </w:r>
      <w:r w:rsidRPr="00226288">
        <w:rPr>
          <w:rFonts w:eastAsia="Times New Roman"/>
          <w:szCs w:val="24"/>
        </w:rPr>
        <w:t xml:space="preserve"> century. </w:t>
      </w:r>
    </w:p>
    <w:p w14:paraId="5FCBABC9" w14:textId="5C1054A2" w:rsidR="00442AF5" w:rsidRDefault="00442AF5">
      <w:r>
        <w:br w:type="page"/>
      </w:r>
    </w:p>
    <w:p w14:paraId="20ED0105" w14:textId="77777777" w:rsidR="00F86DB3" w:rsidRDefault="00F86DB3" w:rsidP="00E16335">
      <w:pPr>
        <w:sectPr w:rsidR="00F86DB3">
          <w:headerReference w:type="default" r:id="rId9"/>
          <w:pgSz w:w="12240" w:h="15840"/>
          <w:pgMar w:top="1440" w:right="1440" w:bottom="1440" w:left="1440" w:header="720" w:footer="720" w:gutter="0"/>
          <w:cols w:space="720"/>
          <w:docGrid w:linePitch="360"/>
        </w:sectPr>
      </w:pPr>
    </w:p>
    <w:p w14:paraId="4FF1D514" w14:textId="56969721" w:rsidR="00505074" w:rsidRPr="00E16335" w:rsidRDefault="00505074" w:rsidP="001446EA"/>
    <w:tbl>
      <w:tblPr>
        <w:tblW w:w="12787" w:type="dxa"/>
        <w:tblLook w:val="04A0" w:firstRow="1" w:lastRow="0" w:firstColumn="1" w:lastColumn="0" w:noHBand="0" w:noVBand="1"/>
      </w:tblPr>
      <w:tblGrid>
        <w:gridCol w:w="1500"/>
        <w:gridCol w:w="1460"/>
        <w:gridCol w:w="1364"/>
        <w:gridCol w:w="1219"/>
        <w:gridCol w:w="1316"/>
        <w:gridCol w:w="1150"/>
        <w:gridCol w:w="1150"/>
        <w:gridCol w:w="872"/>
        <w:gridCol w:w="1328"/>
        <w:gridCol w:w="1428"/>
      </w:tblGrid>
      <w:tr w:rsidR="00427ED7" w:rsidRPr="00427ED7" w14:paraId="693A73C8" w14:textId="77777777" w:rsidTr="008157AA">
        <w:trPr>
          <w:trHeight w:val="290"/>
        </w:trPr>
        <w:tc>
          <w:tcPr>
            <w:tcW w:w="12787" w:type="dxa"/>
            <w:gridSpan w:val="10"/>
            <w:tcBorders>
              <w:top w:val="nil"/>
              <w:left w:val="nil"/>
              <w:bottom w:val="nil"/>
              <w:right w:val="nil"/>
            </w:tcBorders>
            <w:shd w:val="clear" w:color="auto" w:fill="auto"/>
            <w:noWrap/>
            <w:vAlign w:val="bottom"/>
            <w:hideMark/>
          </w:tcPr>
          <w:p w14:paraId="40CBE5C4" w14:textId="77777777" w:rsidR="00427ED7" w:rsidRPr="00427ED7" w:rsidRDefault="00427ED7" w:rsidP="003811B3">
            <w:pPr>
              <w:spacing w:after="0" w:line="240" w:lineRule="auto"/>
              <w:rPr>
                <w:rFonts w:eastAsia="Times New Roman"/>
                <w:b/>
                <w:bCs/>
                <w:sz w:val="20"/>
                <w:szCs w:val="20"/>
                <w:lang w:val="en-CA" w:eastAsia="en-CA"/>
              </w:rPr>
            </w:pPr>
            <w:r w:rsidRPr="00427ED7">
              <w:rPr>
                <w:rFonts w:eastAsia="Times New Roman"/>
                <w:b/>
                <w:bCs/>
                <w:sz w:val="20"/>
                <w:szCs w:val="20"/>
                <w:lang w:val="en-CA" w:eastAsia="en-CA"/>
              </w:rPr>
              <w:t>Entity 1 : Regional Service District 1</w:t>
            </w:r>
          </w:p>
        </w:tc>
      </w:tr>
      <w:tr w:rsidR="00427ED7" w:rsidRPr="00427ED7" w14:paraId="2E207294" w14:textId="77777777" w:rsidTr="008157AA">
        <w:trPr>
          <w:trHeight w:val="1050"/>
        </w:trPr>
        <w:tc>
          <w:tcPr>
            <w:tcW w:w="1500" w:type="dxa"/>
            <w:tcBorders>
              <w:top w:val="nil"/>
              <w:left w:val="nil"/>
              <w:bottom w:val="nil"/>
              <w:right w:val="nil"/>
            </w:tcBorders>
            <w:shd w:val="clear" w:color="4472C4" w:fill="4472C4"/>
            <w:hideMark/>
          </w:tcPr>
          <w:p w14:paraId="0278A8DC" w14:textId="77777777" w:rsidR="00427ED7" w:rsidRPr="00427ED7" w:rsidRDefault="00427ED7" w:rsidP="00427ED7">
            <w:pPr>
              <w:spacing w:after="0" w:line="240" w:lineRule="auto"/>
              <w:jc w:val="center"/>
              <w:rPr>
                <w:rFonts w:eastAsia="Times New Roman"/>
                <w:b/>
                <w:bCs/>
                <w:color w:val="000000"/>
                <w:sz w:val="20"/>
                <w:szCs w:val="20"/>
                <w:lang w:val="en-CA" w:eastAsia="en-CA"/>
              </w:rPr>
            </w:pPr>
            <w:r w:rsidRPr="00427ED7">
              <w:rPr>
                <w:rFonts w:eastAsia="Times New Roman"/>
                <w:b/>
                <w:bCs/>
                <w:color w:val="000000"/>
                <w:sz w:val="20"/>
                <w:szCs w:val="20"/>
                <w:lang w:val="en-CA" w:eastAsia="en-CA"/>
              </w:rPr>
              <w:t>Communities</w:t>
            </w:r>
          </w:p>
        </w:tc>
        <w:tc>
          <w:tcPr>
            <w:tcW w:w="1460" w:type="dxa"/>
            <w:tcBorders>
              <w:top w:val="nil"/>
              <w:left w:val="single" w:sz="4" w:space="0" w:color="FFFFFF"/>
              <w:bottom w:val="nil"/>
              <w:right w:val="nil"/>
            </w:tcBorders>
            <w:shd w:val="clear" w:color="4472C4" w:fill="4472C4"/>
            <w:hideMark/>
          </w:tcPr>
          <w:p w14:paraId="69F2B44B" w14:textId="77777777" w:rsidR="00427ED7" w:rsidRPr="00427ED7" w:rsidRDefault="00427ED7" w:rsidP="00427ED7">
            <w:pPr>
              <w:spacing w:after="0" w:line="240" w:lineRule="auto"/>
              <w:jc w:val="center"/>
              <w:rPr>
                <w:rFonts w:eastAsia="Times New Roman"/>
                <w:b/>
                <w:bCs/>
                <w:color w:val="000000"/>
                <w:sz w:val="20"/>
                <w:szCs w:val="20"/>
                <w:lang w:val="en-CA" w:eastAsia="en-CA"/>
              </w:rPr>
            </w:pPr>
            <w:r w:rsidRPr="00427ED7">
              <w:rPr>
                <w:rFonts w:eastAsia="Times New Roman"/>
                <w:b/>
                <w:bCs/>
                <w:color w:val="000000"/>
                <w:sz w:val="20"/>
                <w:szCs w:val="20"/>
                <w:lang w:val="en-CA" w:eastAsia="en-CA"/>
              </w:rPr>
              <w:t>Entity Type</w:t>
            </w:r>
          </w:p>
        </w:tc>
        <w:tc>
          <w:tcPr>
            <w:tcW w:w="1364" w:type="dxa"/>
            <w:tcBorders>
              <w:top w:val="nil"/>
              <w:left w:val="single" w:sz="4" w:space="0" w:color="FFFFFF"/>
              <w:bottom w:val="nil"/>
              <w:right w:val="nil"/>
            </w:tcBorders>
            <w:shd w:val="clear" w:color="4472C4" w:fill="4472C4"/>
            <w:hideMark/>
          </w:tcPr>
          <w:p w14:paraId="1EFBA02E" w14:textId="77777777" w:rsidR="00427ED7" w:rsidRPr="00427ED7" w:rsidRDefault="00427ED7" w:rsidP="00427ED7">
            <w:pPr>
              <w:spacing w:after="0" w:line="240" w:lineRule="auto"/>
              <w:jc w:val="center"/>
              <w:rPr>
                <w:rFonts w:eastAsia="Times New Roman"/>
                <w:b/>
                <w:bCs/>
                <w:color w:val="000000"/>
                <w:sz w:val="20"/>
                <w:szCs w:val="20"/>
                <w:lang w:val="en-CA" w:eastAsia="en-CA"/>
              </w:rPr>
            </w:pPr>
            <w:r w:rsidRPr="00427ED7">
              <w:rPr>
                <w:rFonts w:eastAsia="Times New Roman"/>
                <w:b/>
                <w:bCs/>
                <w:color w:val="000000"/>
                <w:sz w:val="20"/>
                <w:szCs w:val="20"/>
                <w:lang w:val="en-CA" w:eastAsia="en-CA"/>
              </w:rPr>
              <w:t xml:space="preserve">2020 Residential Property Assessment </w:t>
            </w:r>
          </w:p>
        </w:tc>
        <w:tc>
          <w:tcPr>
            <w:tcW w:w="1219" w:type="dxa"/>
            <w:tcBorders>
              <w:top w:val="nil"/>
              <w:left w:val="single" w:sz="4" w:space="0" w:color="FFFFFF"/>
              <w:bottom w:val="nil"/>
              <w:right w:val="nil"/>
            </w:tcBorders>
            <w:shd w:val="clear" w:color="4472C4" w:fill="4472C4"/>
            <w:hideMark/>
          </w:tcPr>
          <w:p w14:paraId="363CC3A7" w14:textId="77777777" w:rsidR="00427ED7" w:rsidRPr="00427ED7" w:rsidRDefault="00427ED7" w:rsidP="00427ED7">
            <w:pPr>
              <w:spacing w:after="0" w:line="240" w:lineRule="auto"/>
              <w:jc w:val="center"/>
              <w:rPr>
                <w:rFonts w:eastAsia="Times New Roman"/>
                <w:b/>
                <w:bCs/>
                <w:color w:val="000000"/>
                <w:sz w:val="20"/>
                <w:szCs w:val="20"/>
                <w:lang w:val="en-CA" w:eastAsia="en-CA"/>
              </w:rPr>
            </w:pPr>
            <w:r w:rsidRPr="00427ED7">
              <w:rPr>
                <w:rFonts w:eastAsia="Times New Roman"/>
                <w:b/>
                <w:bCs/>
                <w:color w:val="000000"/>
                <w:sz w:val="20"/>
                <w:szCs w:val="20"/>
                <w:lang w:val="en-CA" w:eastAsia="en-CA"/>
              </w:rPr>
              <w:t>2020 Non-Residential Property Assessment</w:t>
            </w:r>
          </w:p>
        </w:tc>
        <w:tc>
          <w:tcPr>
            <w:tcW w:w="1316" w:type="dxa"/>
            <w:tcBorders>
              <w:top w:val="nil"/>
              <w:left w:val="single" w:sz="4" w:space="0" w:color="FFFFFF"/>
              <w:bottom w:val="nil"/>
              <w:right w:val="nil"/>
            </w:tcBorders>
            <w:shd w:val="clear" w:color="4472C4" w:fill="4472C4"/>
            <w:hideMark/>
          </w:tcPr>
          <w:p w14:paraId="542AA752" w14:textId="77777777" w:rsidR="00427ED7" w:rsidRPr="00427ED7" w:rsidRDefault="00427ED7" w:rsidP="00427ED7">
            <w:pPr>
              <w:spacing w:after="0" w:line="240" w:lineRule="auto"/>
              <w:jc w:val="center"/>
              <w:rPr>
                <w:rFonts w:eastAsia="Times New Roman"/>
                <w:b/>
                <w:bCs/>
                <w:color w:val="000000"/>
                <w:sz w:val="20"/>
                <w:szCs w:val="20"/>
                <w:lang w:val="en-CA" w:eastAsia="en-CA"/>
              </w:rPr>
            </w:pPr>
            <w:r w:rsidRPr="00427ED7">
              <w:rPr>
                <w:rFonts w:eastAsia="Times New Roman"/>
                <w:b/>
                <w:bCs/>
                <w:color w:val="000000"/>
                <w:sz w:val="20"/>
                <w:szCs w:val="20"/>
                <w:lang w:val="en-CA" w:eastAsia="en-CA"/>
              </w:rPr>
              <w:t>2020 Total Assessment Base</w:t>
            </w:r>
          </w:p>
        </w:tc>
        <w:tc>
          <w:tcPr>
            <w:tcW w:w="1150" w:type="dxa"/>
            <w:tcBorders>
              <w:top w:val="nil"/>
              <w:left w:val="single" w:sz="4" w:space="0" w:color="FFFFFF"/>
              <w:bottom w:val="nil"/>
              <w:right w:val="nil"/>
            </w:tcBorders>
            <w:shd w:val="clear" w:color="4472C4" w:fill="4472C4"/>
            <w:hideMark/>
          </w:tcPr>
          <w:p w14:paraId="0361E3D6" w14:textId="77777777" w:rsidR="00427ED7" w:rsidRPr="00427ED7" w:rsidRDefault="00427ED7" w:rsidP="00427ED7">
            <w:pPr>
              <w:spacing w:after="0" w:line="240" w:lineRule="auto"/>
              <w:jc w:val="center"/>
              <w:rPr>
                <w:rFonts w:eastAsia="Times New Roman"/>
                <w:b/>
                <w:bCs/>
                <w:color w:val="000000"/>
                <w:sz w:val="20"/>
                <w:szCs w:val="20"/>
                <w:lang w:val="en-CA" w:eastAsia="en-CA"/>
              </w:rPr>
            </w:pPr>
            <w:r w:rsidRPr="00427ED7">
              <w:rPr>
                <w:rFonts w:eastAsia="Times New Roman"/>
                <w:b/>
                <w:bCs/>
                <w:color w:val="000000"/>
                <w:sz w:val="20"/>
                <w:szCs w:val="20"/>
                <w:lang w:val="en-CA" w:eastAsia="en-CA"/>
              </w:rPr>
              <w:t>Population 2016</w:t>
            </w:r>
            <w:r w:rsidRPr="00427ED7">
              <w:rPr>
                <w:rFonts w:eastAsia="Times New Roman"/>
                <w:b/>
                <w:bCs/>
                <w:color w:val="000000"/>
                <w:sz w:val="20"/>
                <w:szCs w:val="20"/>
                <w:vertAlign w:val="superscript"/>
                <w:lang w:val="en-CA" w:eastAsia="en-CA"/>
              </w:rPr>
              <w:t>2</w:t>
            </w:r>
          </w:p>
        </w:tc>
        <w:tc>
          <w:tcPr>
            <w:tcW w:w="1150" w:type="dxa"/>
            <w:tcBorders>
              <w:top w:val="nil"/>
              <w:left w:val="single" w:sz="4" w:space="0" w:color="FFFFFF"/>
              <w:bottom w:val="nil"/>
              <w:right w:val="nil"/>
            </w:tcBorders>
            <w:shd w:val="clear" w:color="4472C4" w:fill="4472C4"/>
            <w:hideMark/>
          </w:tcPr>
          <w:p w14:paraId="5D6E438F" w14:textId="77777777" w:rsidR="00427ED7" w:rsidRPr="00427ED7" w:rsidRDefault="00427ED7" w:rsidP="00427ED7">
            <w:pPr>
              <w:spacing w:after="0" w:line="240" w:lineRule="auto"/>
              <w:jc w:val="center"/>
              <w:rPr>
                <w:rFonts w:eastAsia="Times New Roman"/>
                <w:b/>
                <w:bCs/>
                <w:color w:val="000000"/>
                <w:sz w:val="20"/>
                <w:szCs w:val="20"/>
                <w:lang w:val="en-CA" w:eastAsia="en-CA"/>
              </w:rPr>
            </w:pPr>
            <w:r w:rsidRPr="00427ED7">
              <w:rPr>
                <w:rFonts w:eastAsia="Times New Roman"/>
                <w:b/>
                <w:bCs/>
                <w:color w:val="000000"/>
                <w:sz w:val="20"/>
                <w:szCs w:val="20"/>
                <w:lang w:val="en-CA" w:eastAsia="en-CA"/>
              </w:rPr>
              <w:t>Population 2011</w:t>
            </w:r>
          </w:p>
        </w:tc>
        <w:tc>
          <w:tcPr>
            <w:tcW w:w="872" w:type="dxa"/>
            <w:tcBorders>
              <w:top w:val="nil"/>
              <w:left w:val="single" w:sz="4" w:space="0" w:color="FFFFFF"/>
              <w:bottom w:val="nil"/>
              <w:right w:val="nil"/>
            </w:tcBorders>
            <w:shd w:val="clear" w:color="4472C4" w:fill="4472C4"/>
            <w:hideMark/>
          </w:tcPr>
          <w:p w14:paraId="6A22B557" w14:textId="77777777" w:rsidR="00427ED7" w:rsidRPr="00427ED7" w:rsidRDefault="00427ED7" w:rsidP="00427ED7">
            <w:pPr>
              <w:spacing w:after="0" w:line="240" w:lineRule="auto"/>
              <w:jc w:val="center"/>
              <w:rPr>
                <w:rFonts w:eastAsia="Times New Roman"/>
                <w:b/>
                <w:bCs/>
                <w:color w:val="000000"/>
                <w:sz w:val="20"/>
                <w:szCs w:val="20"/>
                <w:lang w:val="en-CA" w:eastAsia="en-CA"/>
              </w:rPr>
            </w:pPr>
            <w:r w:rsidRPr="00427ED7">
              <w:rPr>
                <w:rFonts w:eastAsia="Times New Roman"/>
                <w:b/>
                <w:bCs/>
                <w:color w:val="000000"/>
                <w:sz w:val="20"/>
                <w:szCs w:val="20"/>
                <w:lang w:val="en-CA" w:eastAsia="en-CA"/>
              </w:rPr>
              <w:t>% Change</w:t>
            </w:r>
          </w:p>
        </w:tc>
        <w:tc>
          <w:tcPr>
            <w:tcW w:w="1328" w:type="dxa"/>
            <w:tcBorders>
              <w:top w:val="nil"/>
              <w:left w:val="single" w:sz="4" w:space="0" w:color="FFFFFF"/>
              <w:bottom w:val="nil"/>
              <w:right w:val="nil"/>
            </w:tcBorders>
            <w:shd w:val="clear" w:color="4472C4" w:fill="4472C4"/>
            <w:hideMark/>
          </w:tcPr>
          <w:p w14:paraId="5093B620" w14:textId="77777777" w:rsidR="00427ED7" w:rsidRPr="00427ED7" w:rsidRDefault="00427ED7" w:rsidP="00427ED7">
            <w:pPr>
              <w:spacing w:after="0" w:line="240" w:lineRule="auto"/>
              <w:jc w:val="center"/>
              <w:rPr>
                <w:rFonts w:eastAsia="Times New Roman"/>
                <w:b/>
                <w:bCs/>
                <w:color w:val="000000"/>
                <w:sz w:val="20"/>
                <w:szCs w:val="20"/>
                <w:lang w:val="en-CA" w:eastAsia="en-CA"/>
              </w:rPr>
            </w:pPr>
            <w:r w:rsidRPr="00427ED7">
              <w:rPr>
                <w:rFonts w:eastAsia="Times New Roman"/>
                <w:b/>
                <w:bCs/>
                <w:color w:val="000000"/>
                <w:sz w:val="20"/>
                <w:szCs w:val="20"/>
                <w:lang w:val="en-CA" w:eastAsia="en-CA"/>
              </w:rPr>
              <w:t>Anglophones</w:t>
            </w:r>
          </w:p>
        </w:tc>
        <w:tc>
          <w:tcPr>
            <w:tcW w:w="1428" w:type="dxa"/>
            <w:tcBorders>
              <w:top w:val="nil"/>
              <w:left w:val="single" w:sz="4" w:space="0" w:color="FFFFFF"/>
              <w:bottom w:val="nil"/>
              <w:right w:val="nil"/>
            </w:tcBorders>
            <w:shd w:val="clear" w:color="4472C4" w:fill="4472C4"/>
            <w:hideMark/>
          </w:tcPr>
          <w:p w14:paraId="4DBEDC91" w14:textId="77777777" w:rsidR="00427ED7" w:rsidRPr="00427ED7" w:rsidRDefault="00427ED7" w:rsidP="00427ED7">
            <w:pPr>
              <w:spacing w:after="0" w:line="240" w:lineRule="auto"/>
              <w:jc w:val="center"/>
              <w:rPr>
                <w:rFonts w:eastAsia="Times New Roman"/>
                <w:b/>
                <w:bCs/>
                <w:color w:val="000000"/>
                <w:sz w:val="20"/>
                <w:szCs w:val="20"/>
                <w:lang w:val="en-CA" w:eastAsia="en-CA"/>
              </w:rPr>
            </w:pPr>
            <w:r w:rsidRPr="00427ED7">
              <w:rPr>
                <w:rFonts w:eastAsia="Times New Roman"/>
                <w:b/>
                <w:bCs/>
                <w:color w:val="000000"/>
                <w:sz w:val="20"/>
                <w:szCs w:val="20"/>
                <w:lang w:val="en-CA" w:eastAsia="en-CA"/>
              </w:rPr>
              <w:t>Francophones</w:t>
            </w:r>
          </w:p>
        </w:tc>
      </w:tr>
      <w:tr w:rsidR="00427ED7" w:rsidRPr="00427ED7" w14:paraId="067B5D6C" w14:textId="77777777" w:rsidTr="008157AA">
        <w:trPr>
          <w:trHeight w:val="300"/>
        </w:trPr>
        <w:tc>
          <w:tcPr>
            <w:tcW w:w="1500" w:type="dxa"/>
            <w:tcBorders>
              <w:top w:val="single" w:sz="12" w:space="0" w:color="FFFFFF"/>
              <w:left w:val="nil"/>
              <w:bottom w:val="nil"/>
              <w:right w:val="nil"/>
            </w:tcBorders>
            <w:shd w:val="clear" w:color="B4C6E7" w:fill="B4C6E7"/>
            <w:noWrap/>
            <w:vAlign w:val="bottom"/>
            <w:hideMark/>
          </w:tcPr>
          <w:p w14:paraId="2DD871AE" w14:textId="77777777" w:rsidR="00427ED7" w:rsidRPr="00427ED7" w:rsidRDefault="00427ED7" w:rsidP="00366157">
            <w:pPr>
              <w:spacing w:after="0" w:line="240" w:lineRule="auto"/>
              <w:rPr>
                <w:rFonts w:eastAsia="Times New Roman"/>
                <w:color w:val="000000"/>
                <w:sz w:val="20"/>
                <w:szCs w:val="20"/>
                <w:lang w:val="en-CA" w:eastAsia="en-CA"/>
              </w:rPr>
            </w:pPr>
            <w:r w:rsidRPr="00427ED7">
              <w:rPr>
                <w:rFonts w:eastAsia="Times New Roman"/>
                <w:color w:val="000000"/>
                <w:sz w:val="20"/>
                <w:szCs w:val="20"/>
                <w:lang w:val="en-CA" w:eastAsia="en-CA"/>
              </w:rPr>
              <w:t>Haut-Madawaska</w:t>
            </w:r>
          </w:p>
        </w:tc>
        <w:tc>
          <w:tcPr>
            <w:tcW w:w="1460" w:type="dxa"/>
            <w:tcBorders>
              <w:top w:val="single" w:sz="12" w:space="0" w:color="FFFFFF"/>
              <w:left w:val="single" w:sz="4" w:space="0" w:color="FFFFFF"/>
              <w:bottom w:val="nil"/>
              <w:right w:val="nil"/>
            </w:tcBorders>
            <w:shd w:val="clear" w:color="B4C6E7" w:fill="B4C6E7"/>
            <w:noWrap/>
            <w:vAlign w:val="bottom"/>
            <w:hideMark/>
          </w:tcPr>
          <w:p w14:paraId="638DF8D9"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Rural Community</w:t>
            </w:r>
          </w:p>
        </w:tc>
        <w:tc>
          <w:tcPr>
            <w:tcW w:w="1364" w:type="dxa"/>
            <w:tcBorders>
              <w:top w:val="single" w:sz="12" w:space="0" w:color="FFFFFF"/>
              <w:left w:val="single" w:sz="4" w:space="0" w:color="FFFFFF"/>
              <w:bottom w:val="nil"/>
              <w:right w:val="nil"/>
            </w:tcBorders>
            <w:shd w:val="clear" w:color="B4C6E7" w:fill="B4C6E7"/>
            <w:noWrap/>
            <w:vAlign w:val="bottom"/>
            <w:hideMark/>
          </w:tcPr>
          <w:p w14:paraId="58909876"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$200,610,700</w:t>
            </w:r>
          </w:p>
        </w:tc>
        <w:tc>
          <w:tcPr>
            <w:tcW w:w="1219" w:type="dxa"/>
            <w:tcBorders>
              <w:top w:val="single" w:sz="12" w:space="0" w:color="FFFFFF"/>
              <w:left w:val="single" w:sz="4" w:space="0" w:color="FFFFFF"/>
              <w:bottom w:val="nil"/>
              <w:right w:val="nil"/>
            </w:tcBorders>
            <w:shd w:val="clear" w:color="B4C6E7" w:fill="B4C6E7"/>
            <w:noWrap/>
            <w:vAlign w:val="bottom"/>
            <w:hideMark/>
          </w:tcPr>
          <w:p w14:paraId="3E35DBD5"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$55,872,300</w:t>
            </w:r>
          </w:p>
        </w:tc>
        <w:tc>
          <w:tcPr>
            <w:tcW w:w="1316" w:type="dxa"/>
            <w:tcBorders>
              <w:top w:val="single" w:sz="12" w:space="0" w:color="FFFFFF"/>
              <w:left w:val="single" w:sz="4" w:space="0" w:color="FFFFFF"/>
              <w:bottom w:val="nil"/>
              <w:right w:val="nil"/>
            </w:tcBorders>
            <w:shd w:val="clear" w:color="B4C6E7" w:fill="B4C6E7"/>
            <w:noWrap/>
            <w:vAlign w:val="bottom"/>
            <w:hideMark/>
          </w:tcPr>
          <w:p w14:paraId="333F429C"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$256,483,000</w:t>
            </w:r>
          </w:p>
        </w:tc>
        <w:tc>
          <w:tcPr>
            <w:tcW w:w="1150" w:type="dxa"/>
            <w:tcBorders>
              <w:top w:val="single" w:sz="12" w:space="0" w:color="FFFFFF"/>
              <w:left w:val="single" w:sz="4" w:space="0" w:color="FFFFFF"/>
              <w:bottom w:val="nil"/>
              <w:right w:val="nil"/>
            </w:tcBorders>
            <w:shd w:val="clear" w:color="B4C6E7" w:fill="B4C6E7"/>
            <w:noWrap/>
            <w:vAlign w:val="bottom"/>
            <w:hideMark/>
          </w:tcPr>
          <w:p w14:paraId="1CEB3869"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3714</w:t>
            </w:r>
          </w:p>
        </w:tc>
        <w:tc>
          <w:tcPr>
            <w:tcW w:w="1150" w:type="dxa"/>
            <w:tcBorders>
              <w:top w:val="single" w:sz="12" w:space="0" w:color="FFFFFF"/>
              <w:left w:val="single" w:sz="4" w:space="0" w:color="FFFFFF"/>
              <w:bottom w:val="nil"/>
              <w:right w:val="nil"/>
            </w:tcBorders>
            <w:shd w:val="clear" w:color="B4C6E7" w:fill="B4C6E7"/>
            <w:noWrap/>
            <w:vAlign w:val="bottom"/>
            <w:hideMark/>
          </w:tcPr>
          <w:p w14:paraId="06DFD08A"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3987</w:t>
            </w:r>
          </w:p>
        </w:tc>
        <w:tc>
          <w:tcPr>
            <w:tcW w:w="872" w:type="dxa"/>
            <w:tcBorders>
              <w:top w:val="single" w:sz="12" w:space="0" w:color="FFFFFF"/>
              <w:left w:val="single" w:sz="4" w:space="0" w:color="FFFFFF"/>
              <w:bottom w:val="nil"/>
              <w:right w:val="nil"/>
            </w:tcBorders>
            <w:shd w:val="clear" w:color="B4C6E7" w:fill="B4C6E7"/>
            <w:noWrap/>
            <w:vAlign w:val="bottom"/>
            <w:hideMark/>
          </w:tcPr>
          <w:p w14:paraId="5350010B"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-6.85%</w:t>
            </w:r>
          </w:p>
        </w:tc>
        <w:tc>
          <w:tcPr>
            <w:tcW w:w="1328" w:type="dxa"/>
            <w:tcBorders>
              <w:top w:val="single" w:sz="12" w:space="0" w:color="FFFFFF"/>
              <w:left w:val="single" w:sz="4" w:space="0" w:color="FFFFFF"/>
              <w:bottom w:val="nil"/>
              <w:right w:val="nil"/>
            </w:tcBorders>
            <w:shd w:val="clear" w:color="B4C6E7" w:fill="B4C6E7"/>
            <w:noWrap/>
            <w:vAlign w:val="bottom"/>
            <w:hideMark/>
          </w:tcPr>
          <w:p w14:paraId="3F44E4B4"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205</w:t>
            </w:r>
          </w:p>
        </w:tc>
        <w:tc>
          <w:tcPr>
            <w:tcW w:w="1428" w:type="dxa"/>
            <w:tcBorders>
              <w:top w:val="single" w:sz="12" w:space="0" w:color="FFFFFF"/>
              <w:left w:val="single" w:sz="4" w:space="0" w:color="FFFFFF"/>
              <w:bottom w:val="nil"/>
              <w:right w:val="nil"/>
            </w:tcBorders>
            <w:shd w:val="clear" w:color="B4C6E7" w:fill="B4C6E7"/>
            <w:noWrap/>
            <w:vAlign w:val="bottom"/>
            <w:hideMark/>
          </w:tcPr>
          <w:p w14:paraId="5106A1D6"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3350</w:t>
            </w:r>
          </w:p>
        </w:tc>
      </w:tr>
      <w:tr w:rsidR="00427ED7" w:rsidRPr="00427ED7" w14:paraId="408ACEC6" w14:textId="77777777" w:rsidTr="008157AA">
        <w:trPr>
          <w:trHeight w:val="290"/>
        </w:trPr>
        <w:tc>
          <w:tcPr>
            <w:tcW w:w="1500" w:type="dxa"/>
            <w:tcBorders>
              <w:top w:val="single" w:sz="4" w:space="0" w:color="FFFFFF"/>
              <w:left w:val="nil"/>
              <w:bottom w:val="nil"/>
              <w:right w:val="nil"/>
            </w:tcBorders>
            <w:shd w:val="clear" w:color="D9E1F2" w:fill="D9E1F2"/>
            <w:noWrap/>
            <w:vAlign w:val="bottom"/>
            <w:hideMark/>
          </w:tcPr>
          <w:p w14:paraId="45BBA112" w14:textId="77777777" w:rsidR="00427ED7" w:rsidRPr="00427ED7" w:rsidRDefault="00427ED7" w:rsidP="00366157">
            <w:pPr>
              <w:spacing w:after="0" w:line="240" w:lineRule="auto"/>
              <w:rPr>
                <w:rFonts w:eastAsia="Times New Roman"/>
                <w:color w:val="000000"/>
                <w:sz w:val="20"/>
                <w:szCs w:val="20"/>
                <w:lang w:val="en-CA" w:eastAsia="en-CA"/>
              </w:rPr>
            </w:pPr>
            <w:r w:rsidRPr="00427ED7">
              <w:rPr>
                <w:rFonts w:eastAsia="Times New Roman"/>
                <w:color w:val="000000"/>
                <w:sz w:val="20"/>
                <w:szCs w:val="20"/>
                <w:lang w:val="en-CA" w:eastAsia="en-CA"/>
              </w:rPr>
              <w:t>Lac Baker</w:t>
            </w:r>
          </w:p>
        </w:tc>
        <w:tc>
          <w:tcPr>
            <w:tcW w:w="1460" w:type="dxa"/>
            <w:tcBorders>
              <w:top w:val="single" w:sz="4" w:space="0" w:color="FFFFFF"/>
              <w:left w:val="single" w:sz="4" w:space="0" w:color="FFFFFF"/>
              <w:bottom w:val="nil"/>
              <w:right w:val="nil"/>
            </w:tcBorders>
            <w:shd w:val="clear" w:color="D9E1F2" w:fill="D9E1F2"/>
            <w:noWrap/>
            <w:vAlign w:val="bottom"/>
            <w:hideMark/>
          </w:tcPr>
          <w:p w14:paraId="4A1F0927"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Village</w:t>
            </w:r>
          </w:p>
        </w:tc>
        <w:tc>
          <w:tcPr>
            <w:tcW w:w="1364" w:type="dxa"/>
            <w:tcBorders>
              <w:top w:val="single" w:sz="4" w:space="0" w:color="FFFFFF"/>
              <w:left w:val="single" w:sz="4" w:space="0" w:color="FFFFFF"/>
              <w:bottom w:val="nil"/>
              <w:right w:val="nil"/>
            </w:tcBorders>
            <w:shd w:val="clear" w:color="D9E1F2" w:fill="D9E1F2"/>
            <w:noWrap/>
            <w:vAlign w:val="bottom"/>
            <w:hideMark/>
          </w:tcPr>
          <w:p w14:paraId="23AF004D"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$62,881,800</w:t>
            </w:r>
          </w:p>
        </w:tc>
        <w:tc>
          <w:tcPr>
            <w:tcW w:w="1219" w:type="dxa"/>
            <w:tcBorders>
              <w:top w:val="single" w:sz="4" w:space="0" w:color="FFFFFF"/>
              <w:left w:val="single" w:sz="4" w:space="0" w:color="FFFFFF"/>
              <w:bottom w:val="nil"/>
              <w:right w:val="nil"/>
            </w:tcBorders>
            <w:shd w:val="clear" w:color="D9E1F2" w:fill="D9E1F2"/>
            <w:noWrap/>
            <w:vAlign w:val="bottom"/>
            <w:hideMark/>
          </w:tcPr>
          <w:p w14:paraId="0BAB495E"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$847,600</w:t>
            </w:r>
          </w:p>
        </w:tc>
        <w:tc>
          <w:tcPr>
            <w:tcW w:w="1316" w:type="dxa"/>
            <w:tcBorders>
              <w:top w:val="single" w:sz="4" w:space="0" w:color="FFFFFF"/>
              <w:left w:val="single" w:sz="4" w:space="0" w:color="FFFFFF"/>
              <w:bottom w:val="nil"/>
              <w:right w:val="nil"/>
            </w:tcBorders>
            <w:shd w:val="clear" w:color="D9E1F2" w:fill="D9E1F2"/>
            <w:noWrap/>
            <w:vAlign w:val="bottom"/>
            <w:hideMark/>
          </w:tcPr>
          <w:p w14:paraId="452A41E3"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$63,729,400</w:t>
            </w:r>
          </w:p>
        </w:tc>
        <w:tc>
          <w:tcPr>
            <w:tcW w:w="1150" w:type="dxa"/>
            <w:tcBorders>
              <w:top w:val="single" w:sz="4" w:space="0" w:color="FFFFFF"/>
              <w:left w:val="single" w:sz="4" w:space="0" w:color="FFFFFF"/>
              <w:bottom w:val="nil"/>
              <w:right w:val="nil"/>
            </w:tcBorders>
            <w:shd w:val="clear" w:color="D9E1F2" w:fill="D9E1F2"/>
            <w:noWrap/>
            <w:vAlign w:val="bottom"/>
            <w:hideMark/>
          </w:tcPr>
          <w:p w14:paraId="012E77C9"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690</w:t>
            </w:r>
          </w:p>
        </w:tc>
        <w:tc>
          <w:tcPr>
            <w:tcW w:w="1150" w:type="dxa"/>
            <w:tcBorders>
              <w:top w:val="single" w:sz="4" w:space="0" w:color="FFFFFF"/>
              <w:left w:val="single" w:sz="4" w:space="0" w:color="FFFFFF"/>
              <w:bottom w:val="nil"/>
              <w:right w:val="nil"/>
            </w:tcBorders>
            <w:shd w:val="clear" w:color="D9E1F2" w:fill="D9E1F2"/>
            <w:noWrap/>
            <w:vAlign w:val="bottom"/>
            <w:hideMark/>
          </w:tcPr>
          <w:p w14:paraId="6EB61715"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719</w:t>
            </w:r>
          </w:p>
        </w:tc>
        <w:tc>
          <w:tcPr>
            <w:tcW w:w="872" w:type="dxa"/>
            <w:tcBorders>
              <w:top w:val="single" w:sz="4" w:space="0" w:color="FFFFFF"/>
              <w:left w:val="single" w:sz="4" w:space="0" w:color="FFFFFF"/>
              <w:bottom w:val="nil"/>
              <w:right w:val="nil"/>
            </w:tcBorders>
            <w:shd w:val="clear" w:color="D9E1F2" w:fill="D9E1F2"/>
            <w:noWrap/>
            <w:vAlign w:val="bottom"/>
            <w:hideMark/>
          </w:tcPr>
          <w:p w14:paraId="5AA08241"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-4.03%</w:t>
            </w:r>
          </w:p>
        </w:tc>
        <w:tc>
          <w:tcPr>
            <w:tcW w:w="1328" w:type="dxa"/>
            <w:tcBorders>
              <w:top w:val="single" w:sz="4" w:space="0" w:color="FFFFFF"/>
              <w:left w:val="single" w:sz="4" w:space="0" w:color="FFFFFF"/>
              <w:bottom w:val="nil"/>
              <w:right w:val="nil"/>
            </w:tcBorders>
            <w:shd w:val="clear" w:color="D9E1F2" w:fill="D9E1F2"/>
            <w:noWrap/>
            <w:vAlign w:val="bottom"/>
            <w:hideMark/>
          </w:tcPr>
          <w:p w14:paraId="5AB1E622"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40</w:t>
            </w:r>
          </w:p>
        </w:tc>
        <w:tc>
          <w:tcPr>
            <w:tcW w:w="1428" w:type="dxa"/>
            <w:tcBorders>
              <w:top w:val="single" w:sz="4" w:space="0" w:color="FFFFFF"/>
              <w:left w:val="single" w:sz="4" w:space="0" w:color="FFFFFF"/>
              <w:bottom w:val="nil"/>
              <w:right w:val="nil"/>
            </w:tcBorders>
            <w:shd w:val="clear" w:color="D9E1F2" w:fill="D9E1F2"/>
            <w:noWrap/>
            <w:vAlign w:val="bottom"/>
            <w:hideMark/>
          </w:tcPr>
          <w:p w14:paraId="75D67D1E"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635</w:t>
            </w:r>
          </w:p>
        </w:tc>
      </w:tr>
      <w:tr w:rsidR="00427ED7" w:rsidRPr="00427ED7" w14:paraId="0C0B4328" w14:textId="77777777" w:rsidTr="008157AA">
        <w:trPr>
          <w:trHeight w:val="290"/>
        </w:trPr>
        <w:tc>
          <w:tcPr>
            <w:tcW w:w="1500" w:type="dxa"/>
            <w:tcBorders>
              <w:top w:val="single" w:sz="4" w:space="0" w:color="FFFFFF"/>
              <w:left w:val="nil"/>
              <w:bottom w:val="nil"/>
              <w:right w:val="nil"/>
            </w:tcBorders>
            <w:shd w:val="clear" w:color="B4C6E7" w:fill="B4C6E7"/>
            <w:noWrap/>
            <w:vAlign w:val="bottom"/>
            <w:hideMark/>
          </w:tcPr>
          <w:p w14:paraId="282B6AE8" w14:textId="77777777" w:rsidR="00427ED7" w:rsidRPr="00427ED7" w:rsidRDefault="00427ED7" w:rsidP="00427ED7">
            <w:pPr>
              <w:spacing w:after="0" w:line="240" w:lineRule="auto"/>
              <w:jc w:val="right"/>
              <w:rPr>
                <w:rFonts w:eastAsia="Times New Roman"/>
                <w:b/>
                <w:bCs/>
                <w:color w:val="000000"/>
                <w:sz w:val="20"/>
                <w:szCs w:val="20"/>
                <w:lang w:val="en-CA" w:eastAsia="en-CA"/>
              </w:rPr>
            </w:pPr>
            <w:r w:rsidRPr="00427ED7">
              <w:rPr>
                <w:rFonts w:eastAsia="Times New Roman"/>
                <w:b/>
                <w:bCs/>
                <w:color w:val="000000"/>
                <w:sz w:val="20"/>
                <w:szCs w:val="20"/>
                <w:lang w:val="en-CA" w:eastAsia="en-CA"/>
              </w:rPr>
              <w:t>Totals</w:t>
            </w:r>
          </w:p>
        </w:tc>
        <w:tc>
          <w:tcPr>
            <w:tcW w:w="1460" w:type="dxa"/>
            <w:tcBorders>
              <w:top w:val="single" w:sz="4" w:space="0" w:color="FFFFFF"/>
              <w:left w:val="single" w:sz="4" w:space="0" w:color="FFFFFF"/>
              <w:bottom w:val="nil"/>
              <w:right w:val="nil"/>
            </w:tcBorders>
            <w:shd w:val="clear" w:color="B4C6E7" w:fill="B4C6E7"/>
            <w:noWrap/>
            <w:vAlign w:val="bottom"/>
            <w:hideMark/>
          </w:tcPr>
          <w:p w14:paraId="24B10C1E"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 </w:t>
            </w:r>
          </w:p>
        </w:tc>
        <w:tc>
          <w:tcPr>
            <w:tcW w:w="1364" w:type="dxa"/>
            <w:tcBorders>
              <w:top w:val="single" w:sz="4" w:space="0" w:color="FFFFFF"/>
              <w:left w:val="single" w:sz="4" w:space="0" w:color="FFFFFF"/>
              <w:bottom w:val="nil"/>
              <w:right w:val="nil"/>
            </w:tcBorders>
            <w:shd w:val="clear" w:color="B4C6E7" w:fill="B4C6E7"/>
            <w:vAlign w:val="bottom"/>
            <w:hideMark/>
          </w:tcPr>
          <w:p w14:paraId="372A9977"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$263,492,500</w:t>
            </w:r>
          </w:p>
        </w:tc>
        <w:tc>
          <w:tcPr>
            <w:tcW w:w="1219" w:type="dxa"/>
            <w:tcBorders>
              <w:top w:val="single" w:sz="4" w:space="0" w:color="FFFFFF"/>
              <w:left w:val="single" w:sz="4" w:space="0" w:color="FFFFFF"/>
              <w:bottom w:val="nil"/>
              <w:right w:val="nil"/>
            </w:tcBorders>
            <w:shd w:val="clear" w:color="B4C6E7" w:fill="B4C6E7"/>
            <w:vAlign w:val="bottom"/>
            <w:hideMark/>
          </w:tcPr>
          <w:p w14:paraId="784E3767"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$56,719,900</w:t>
            </w:r>
          </w:p>
        </w:tc>
        <w:tc>
          <w:tcPr>
            <w:tcW w:w="1316" w:type="dxa"/>
            <w:tcBorders>
              <w:top w:val="single" w:sz="4" w:space="0" w:color="FFFFFF"/>
              <w:left w:val="single" w:sz="4" w:space="0" w:color="FFFFFF"/>
              <w:bottom w:val="nil"/>
              <w:right w:val="nil"/>
            </w:tcBorders>
            <w:shd w:val="clear" w:color="B4C6E7" w:fill="B4C6E7"/>
            <w:noWrap/>
            <w:vAlign w:val="bottom"/>
            <w:hideMark/>
          </w:tcPr>
          <w:p w14:paraId="6BB06E11"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$320,212,400</w:t>
            </w:r>
          </w:p>
        </w:tc>
        <w:tc>
          <w:tcPr>
            <w:tcW w:w="1150" w:type="dxa"/>
            <w:tcBorders>
              <w:top w:val="single" w:sz="4" w:space="0" w:color="FFFFFF"/>
              <w:left w:val="single" w:sz="4" w:space="0" w:color="FFFFFF"/>
              <w:bottom w:val="nil"/>
              <w:right w:val="nil"/>
            </w:tcBorders>
            <w:shd w:val="clear" w:color="B4C6E7" w:fill="B4C6E7"/>
            <w:noWrap/>
            <w:vAlign w:val="bottom"/>
            <w:hideMark/>
          </w:tcPr>
          <w:p w14:paraId="6A7B618F"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4404</w:t>
            </w:r>
          </w:p>
        </w:tc>
        <w:tc>
          <w:tcPr>
            <w:tcW w:w="1150" w:type="dxa"/>
            <w:tcBorders>
              <w:top w:val="single" w:sz="4" w:space="0" w:color="FFFFFF"/>
              <w:left w:val="single" w:sz="4" w:space="0" w:color="FFFFFF"/>
              <w:bottom w:val="nil"/>
              <w:right w:val="nil"/>
            </w:tcBorders>
            <w:shd w:val="clear" w:color="B4C6E7" w:fill="B4C6E7"/>
            <w:noWrap/>
            <w:vAlign w:val="bottom"/>
            <w:hideMark/>
          </w:tcPr>
          <w:p w14:paraId="1A5A8DA2"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4706</w:t>
            </w:r>
          </w:p>
        </w:tc>
        <w:tc>
          <w:tcPr>
            <w:tcW w:w="872" w:type="dxa"/>
            <w:tcBorders>
              <w:top w:val="single" w:sz="4" w:space="0" w:color="FFFFFF"/>
              <w:left w:val="single" w:sz="4" w:space="0" w:color="FFFFFF"/>
              <w:bottom w:val="nil"/>
              <w:right w:val="nil"/>
            </w:tcBorders>
            <w:shd w:val="clear" w:color="B4C6E7" w:fill="B4C6E7"/>
            <w:noWrap/>
            <w:vAlign w:val="bottom"/>
            <w:hideMark/>
          </w:tcPr>
          <w:p w14:paraId="1EF83BCC"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-6.42%</w:t>
            </w:r>
          </w:p>
        </w:tc>
        <w:tc>
          <w:tcPr>
            <w:tcW w:w="1328" w:type="dxa"/>
            <w:tcBorders>
              <w:top w:val="single" w:sz="4" w:space="0" w:color="FFFFFF"/>
              <w:left w:val="single" w:sz="4" w:space="0" w:color="FFFFFF"/>
              <w:bottom w:val="nil"/>
              <w:right w:val="nil"/>
            </w:tcBorders>
            <w:shd w:val="clear" w:color="B4C6E7" w:fill="B4C6E7"/>
            <w:noWrap/>
            <w:vAlign w:val="bottom"/>
            <w:hideMark/>
          </w:tcPr>
          <w:p w14:paraId="341AC093"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245</w:t>
            </w:r>
          </w:p>
        </w:tc>
        <w:tc>
          <w:tcPr>
            <w:tcW w:w="1428" w:type="dxa"/>
            <w:tcBorders>
              <w:top w:val="single" w:sz="4" w:space="0" w:color="FFFFFF"/>
              <w:left w:val="single" w:sz="4" w:space="0" w:color="FFFFFF"/>
              <w:bottom w:val="nil"/>
              <w:right w:val="nil"/>
            </w:tcBorders>
            <w:shd w:val="clear" w:color="B4C6E7" w:fill="B4C6E7"/>
            <w:noWrap/>
            <w:vAlign w:val="bottom"/>
            <w:hideMark/>
          </w:tcPr>
          <w:p w14:paraId="015A9B7A" w14:textId="77777777" w:rsidR="00427ED7" w:rsidRPr="00427ED7" w:rsidRDefault="00427ED7" w:rsidP="00427ED7">
            <w:pPr>
              <w:spacing w:after="0" w:line="240" w:lineRule="auto"/>
              <w:jc w:val="right"/>
              <w:rPr>
                <w:rFonts w:eastAsia="Times New Roman"/>
                <w:color w:val="000000"/>
                <w:sz w:val="20"/>
                <w:szCs w:val="20"/>
                <w:lang w:val="en-CA" w:eastAsia="en-CA"/>
              </w:rPr>
            </w:pPr>
            <w:r w:rsidRPr="00427ED7">
              <w:rPr>
                <w:rFonts w:eastAsia="Times New Roman"/>
                <w:color w:val="000000"/>
                <w:sz w:val="20"/>
                <w:szCs w:val="20"/>
                <w:lang w:val="en-CA" w:eastAsia="en-CA"/>
              </w:rPr>
              <w:t>3985</w:t>
            </w:r>
          </w:p>
        </w:tc>
      </w:tr>
      <w:tr w:rsidR="00427ED7" w:rsidRPr="00427ED7" w14:paraId="7B10BDB2" w14:textId="77777777" w:rsidTr="008157AA">
        <w:trPr>
          <w:trHeight w:val="290"/>
        </w:trPr>
        <w:tc>
          <w:tcPr>
            <w:tcW w:w="12787" w:type="dxa"/>
            <w:gridSpan w:val="10"/>
            <w:tcBorders>
              <w:top w:val="nil"/>
              <w:left w:val="nil"/>
              <w:bottom w:val="nil"/>
              <w:right w:val="nil"/>
            </w:tcBorders>
            <w:shd w:val="clear" w:color="auto" w:fill="auto"/>
            <w:noWrap/>
            <w:vAlign w:val="bottom"/>
            <w:hideMark/>
          </w:tcPr>
          <w:p w14:paraId="271C12FA" w14:textId="77777777" w:rsidR="00427ED7" w:rsidRPr="00427ED7" w:rsidRDefault="00427ED7" w:rsidP="00427ED7">
            <w:pPr>
              <w:spacing w:after="0" w:line="240" w:lineRule="auto"/>
              <w:rPr>
                <w:rFonts w:eastAsia="Times New Roman"/>
                <w:sz w:val="20"/>
                <w:szCs w:val="20"/>
                <w:lang w:val="en-CA" w:eastAsia="en-CA"/>
              </w:rPr>
            </w:pPr>
            <w:r w:rsidRPr="00427ED7">
              <w:rPr>
                <w:rFonts w:eastAsia="Times New Roman"/>
                <w:sz w:val="20"/>
                <w:szCs w:val="20"/>
                <w:lang w:val="en-CA" w:eastAsia="en-CA"/>
              </w:rPr>
              <w:t>1. Source: Department of Environment and Local Government</w:t>
            </w:r>
          </w:p>
        </w:tc>
      </w:tr>
      <w:tr w:rsidR="00427ED7" w:rsidRPr="00427ED7" w14:paraId="5B4721DC" w14:textId="77777777" w:rsidTr="008157AA">
        <w:trPr>
          <w:trHeight w:val="290"/>
        </w:trPr>
        <w:tc>
          <w:tcPr>
            <w:tcW w:w="12787" w:type="dxa"/>
            <w:gridSpan w:val="10"/>
            <w:tcBorders>
              <w:top w:val="nil"/>
              <w:left w:val="nil"/>
              <w:bottom w:val="nil"/>
              <w:right w:val="nil"/>
            </w:tcBorders>
            <w:shd w:val="clear" w:color="auto" w:fill="auto"/>
            <w:noWrap/>
            <w:vAlign w:val="bottom"/>
            <w:hideMark/>
          </w:tcPr>
          <w:p w14:paraId="4C4A590D" w14:textId="77777777" w:rsidR="00427ED7" w:rsidRPr="00427ED7" w:rsidRDefault="00427ED7" w:rsidP="00427ED7">
            <w:pPr>
              <w:spacing w:after="0" w:line="240" w:lineRule="auto"/>
              <w:rPr>
                <w:rFonts w:eastAsia="Times New Roman"/>
                <w:sz w:val="20"/>
                <w:szCs w:val="20"/>
                <w:lang w:val="en-CA" w:eastAsia="en-CA"/>
              </w:rPr>
            </w:pPr>
            <w:r w:rsidRPr="00427ED7">
              <w:rPr>
                <w:rFonts w:eastAsia="Times New Roman"/>
                <w:sz w:val="20"/>
                <w:szCs w:val="20"/>
                <w:lang w:val="en-CA" w:eastAsia="en-CA"/>
              </w:rPr>
              <w:t>2. Source: Statistics Canada</w:t>
            </w:r>
          </w:p>
        </w:tc>
      </w:tr>
    </w:tbl>
    <w:p w14:paraId="798BA74F" w14:textId="6B39BBEC" w:rsidR="47626E9A" w:rsidRDefault="47626E9A" w:rsidP="000F70C3"/>
    <w:tbl>
      <w:tblPr>
        <w:tblW w:w="9529" w:type="dxa"/>
        <w:tblInd w:w="3448" w:type="dxa"/>
        <w:tblLook w:val="04A0" w:firstRow="1" w:lastRow="0" w:firstColumn="1" w:lastColumn="0" w:noHBand="0" w:noVBand="1"/>
      </w:tblPr>
      <w:tblGrid>
        <w:gridCol w:w="952"/>
        <w:gridCol w:w="1009"/>
        <w:gridCol w:w="1640"/>
        <w:gridCol w:w="1150"/>
        <w:gridCol w:w="1150"/>
        <w:gridCol w:w="872"/>
        <w:gridCol w:w="1328"/>
        <w:gridCol w:w="1428"/>
      </w:tblGrid>
      <w:tr w:rsidR="008157AA" w:rsidRPr="008157AA" w14:paraId="56A0802C" w14:textId="77777777" w:rsidTr="008157AA">
        <w:trPr>
          <w:trHeight w:val="290"/>
        </w:trPr>
        <w:tc>
          <w:tcPr>
            <w:tcW w:w="9529" w:type="dxa"/>
            <w:gridSpan w:val="8"/>
            <w:tcBorders>
              <w:top w:val="nil"/>
              <w:left w:val="nil"/>
              <w:bottom w:val="nil"/>
              <w:right w:val="nil"/>
            </w:tcBorders>
            <w:shd w:val="clear" w:color="auto" w:fill="auto"/>
            <w:noWrap/>
            <w:vAlign w:val="bottom"/>
            <w:hideMark/>
          </w:tcPr>
          <w:p w14:paraId="13023463" w14:textId="77777777" w:rsidR="008157AA" w:rsidRPr="008157AA" w:rsidRDefault="008157AA" w:rsidP="008157AA">
            <w:pPr>
              <w:spacing w:after="0" w:line="240" w:lineRule="auto"/>
              <w:rPr>
                <w:rFonts w:eastAsia="Times New Roman"/>
                <w:b/>
                <w:bCs/>
                <w:sz w:val="20"/>
                <w:szCs w:val="20"/>
                <w:lang w:val="en-CA" w:eastAsia="en-CA"/>
              </w:rPr>
            </w:pPr>
            <w:r w:rsidRPr="008157AA">
              <w:rPr>
                <w:rFonts w:eastAsia="Times New Roman"/>
                <w:b/>
                <w:bCs/>
                <w:sz w:val="20"/>
                <w:szCs w:val="20"/>
                <w:lang w:val="en-CA" w:eastAsia="en-CA"/>
              </w:rPr>
              <w:t>Regional Service District 1</w:t>
            </w:r>
          </w:p>
        </w:tc>
      </w:tr>
      <w:tr w:rsidR="008157AA" w:rsidRPr="008157AA" w14:paraId="31AF8BB5" w14:textId="77777777" w:rsidTr="008157AA">
        <w:trPr>
          <w:trHeight w:val="1090"/>
        </w:trPr>
        <w:tc>
          <w:tcPr>
            <w:tcW w:w="952" w:type="dxa"/>
            <w:tcBorders>
              <w:top w:val="nil"/>
              <w:left w:val="nil"/>
              <w:bottom w:val="nil"/>
              <w:right w:val="nil"/>
            </w:tcBorders>
            <w:shd w:val="clear" w:color="4472C4" w:fill="4472C4"/>
            <w:hideMark/>
          </w:tcPr>
          <w:p w14:paraId="6661F964" w14:textId="77777777" w:rsidR="008157AA" w:rsidRPr="008157AA" w:rsidRDefault="008157AA" w:rsidP="008157AA">
            <w:pPr>
              <w:spacing w:after="0" w:line="240" w:lineRule="auto"/>
              <w:jc w:val="center"/>
              <w:rPr>
                <w:rFonts w:eastAsia="Times New Roman"/>
                <w:b/>
                <w:bCs/>
                <w:color w:val="000000"/>
                <w:sz w:val="20"/>
                <w:szCs w:val="20"/>
                <w:lang w:val="en-CA" w:eastAsia="en-CA"/>
              </w:rPr>
            </w:pPr>
            <w:r w:rsidRPr="008157AA">
              <w:rPr>
                <w:rFonts w:eastAsia="Times New Roman"/>
                <w:b/>
                <w:bCs/>
                <w:color w:val="000000"/>
                <w:sz w:val="20"/>
                <w:szCs w:val="20"/>
                <w:lang w:val="en-CA" w:eastAsia="en-CA"/>
              </w:rPr>
              <w:t>Entity</w:t>
            </w:r>
          </w:p>
        </w:tc>
        <w:tc>
          <w:tcPr>
            <w:tcW w:w="1009" w:type="dxa"/>
            <w:tcBorders>
              <w:top w:val="nil"/>
              <w:left w:val="single" w:sz="4" w:space="0" w:color="FFFFFF"/>
              <w:bottom w:val="nil"/>
              <w:right w:val="nil"/>
            </w:tcBorders>
            <w:shd w:val="clear" w:color="4472C4" w:fill="4472C4"/>
            <w:hideMark/>
          </w:tcPr>
          <w:p w14:paraId="57A95043" w14:textId="77777777" w:rsidR="008157AA" w:rsidRPr="008157AA" w:rsidRDefault="008157AA" w:rsidP="008157AA">
            <w:pPr>
              <w:spacing w:after="0" w:line="240" w:lineRule="auto"/>
              <w:jc w:val="center"/>
              <w:rPr>
                <w:rFonts w:eastAsia="Times New Roman"/>
                <w:b/>
                <w:bCs/>
                <w:color w:val="000000"/>
                <w:sz w:val="20"/>
                <w:szCs w:val="20"/>
                <w:lang w:val="en-CA" w:eastAsia="en-CA"/>
              </w:rPr>
            </w:pPr>
            <w:r w:rsidRPr="008157AA">
              <w:rPr>
                <w:rFonts w:eastAsia="Times New Roman"/>
                <w:b/>
                <w:bCs/>
                <w:color w:val="000000"/>
                <w:sz w:val="20"/>
                <w:szCs w:val="20"/>
                <w:lang w:val="en-CA" w:eastAsia="en-CA"/>
              </w:rPr>
              <w:t>Group Type</w:t>
            </w:r>
          </w:p>
        </w:tc>
        <w:tc>
          <w:tcPr>
            <w:tcW w:w="1640" w:type="dxa"/>
            <w:tcBorders>
              <w:top w:val="nil"/>
              <w:left w:val="single" w:sz="4" w:space="0" w:color="FFFFFF"/>
              <w:bottom w:val="nil"/>
              <w:right w:val="nil"/>
            </w:tcBorders>
            <w:shd w:val="clear" w:color="4472C4" w:fill="4472C4"/>
            <w:hideMark/>
          </w:tcPr>
          <w:p w14:paraId="1578F980" w14:textId="77777777" w:rsidR="008157AA" w:rsidRPr="008157AA" w:rsidRDefault="008157AA" w:rsidP="008157AA">
            <w:pPr>
              <w:spacing w:after="0" w:line="240" w:lineRule="auto"/>
              <w:jc w:val="center"/>
              <w:rPr>
                <w:rFonts w:eastAsia="Times New Roman"/>
                <w:b/>
                <w:bCs/>
                <w:color w:val="000000"/>
                <w:sz w:val="20"/>
                <w:szCs w:val="20"/>
                <w:lang w:val="en-CA" w:eastAsia="en-CA"/>
              </w:rPr>
            </w:pPr>
            <w:r w:rsidRPr="008157AA">
              <w:rPr>
                <w:rFonts w:eastAsia="Times New Roman"/>
                <w:b/>
                <w:bCs/>
                <w:color w:val="000000"/>
                <w:sz w:val="20"/>
                <w:szCs w:val="20"/>
                <w:lang w:val="en-CA" w:eastAsia="en-CA"/>
              </w:rPr>
              <w:t>2020 Total Assessment Base</w:t>
            </w:r>
          </w:p>
        </w:tc>
        <w:tc>
          <w:tcPr>
            <w:tcW w:w="1150" w:type="dxa"/>
            <w:tcBorders>
              <w:top w:val="nil"/>
              <w:left w:val="single" w:sz="4" w:space="0" w:color="FFFFFF"/>
              <w:bottom w:val="nil"/>
              <w:right w:val="nil"/>
            </w:tcBorders>
            <w:shd w:val="clear" w:color="4472C4" w:fill="4472C4"/>
            <w:hideMark/>
          </w:tcPr>
          <w:p w14:paraId="5D087133" w14:textId="77777777" w:rsidR="008157AA" w:rsidRPr="008157AA" w:rsidRDefault="008157AA" w:rsidP="008157AA">
            <w:pPr>
              <w:spacing w:after="0" w:line="240" w:lineRule="auto"/>
              <w:jc w:val="center"/>
              <w:rPr>
                <w:rFonts w:eastAsia="Times New Roman"/>
                <w:b/>
                <w:bCs/>
                <w:color w:val="000000"/>
                <w:sz w:val="20"/>
                <w:szCs w:val="20"/>
                <w:lang w:val="en-CA" w:eastAsia="en-CA"/>
              </w:rPr>
            </w:pPr>
            <w:r w:rsidRPr="008157AA">
              <w:rPr>
                <w:rFonts w:eastAsia="Times New Roman"/>
                <w:b/>
                <w:bCs/>
                <w:color w:val="000000"/>
                <w:sz w:val="20"/>
                <w:szCs w:val="20"/>
                <w:lang w:val="en-CA" w:eastAsia="en-CA"/>
              </w:rPr>
              <w:t>Population 2016</w:t>
            </w:r>
            <w:r w:rsidRPr="008157AA">
              <w:rPr>
                <w:rFonts w:eastAsia="Times New Roman"/>
                <w:b/>
                <w:bCs/>
                <w:color w:val="000000"/>
                <w:sz w:val="20"/>
                <w:szCs w:val="20"/>
                <w:vertAlign w:val="superscript"/>
                <w:lang w:val="en-CA" w:eastAsia="en-CA"/>
              </w:rPr>
              <w:t>2</w:t>
            </w:r>
          </w:p>
        </w:tc>
        <w:tc>
          <w:tcPr>
            <w:tcW w:w="1150" w:type="dxa"/>
            <w:tcBorders>
              <w:top w:val="nil"/>
              <w:left w:val="single" w:sz="4" w:space="0" w:color="FFFFFF"/>
              <w:bottom w:val="nil"/>
              <w:right w:val="nil"/>
            </w:tcBorders>
            <w:shd w:val="clear" w:color="4472C4" w:fill="4472C4"/>
            <w:hideMark/>
          </w:tcPr>
          <w:p w14:paraId="27EB993B" w14:textId="77777777" w:rsidR="008157AA" w:rsidRPr="008157AA" w:rsidRDefault="008157AA" w:rsidP="008157AA">
            <w:pPr>
              <w:spacing w:after="0" w:line="240" w:lineRule="auto"/>
              <w:jc w:val="center"/>
              <w:rPr>
                <w:rFonts w:eastAsia="Times New Roman"/>
                <w:b/>
                <w:bCs/>
                <w:color w:val="000000"/>
                <w:sz w:val="20"/>
                <w:szCs w:val="20"/>
                <w:lang w:val="en-CA" w:eastAsia="en-CA"/>
              </w:rPr>
            </w:pPr>
            <w:r w:rsidRPr="008157AA">
              <w:rPr>
                <w:rFonts w:eastAsia="Times New Roman"/>
                <w:b/>
                <w:bCs/>
                <w:color w:val="000000"/>
                <w:sz w:val="20"/>
                <w:szCs w:val="20"/>
                <w:lang w:val="en-CA" w:eastAsia="en-CA"/>
              </w:rPr>
              <w:t>Population 2011</w:t>
            </w:r>
          </w:p>
        </w:tc>
        <w:tc>
          <w:tcPr>
            <w:tcW w:w="872" w:type="dxa"/>
            <w:tcBorders>
              <w:top w:val="nil"/>
              <w:left w:val="single" w:sz="4" w:space="0" w:color="FFFFFF"/>
              <w:bottom w:val="nil"/>
              <w:right w:val="nil"/>
            </w:tcBorders>
            <w:shd w:val="clear" w:color="4472C4" w:fill="4472C4"/>
            <w:hideMark/>
          </w:tcPr>
          <w:p w14:paraId="14622EE6" w14:textId="77777777" w:rsidR="008157AA" w:rsidRPr="008157AA" w:rsidRDefault="008157AA" w:rsidP="008157AA">
            <w:pPr>
              <w:spacing w:after="0" w:line="240" w:lineRule="auto"/>
              <w:jc w:val="center"/>
              <w:rPr>
                <w:rFonts w:eastAsia="Times New Roman"/>
                <w:b/>
                <w:bCs/>
                <w:color w:val="000000"/>
                <w:sz w:val="20"/>
                <w:szCs w:val="20"/>
                <w:lang w:val="en-CA" w:eastAsia="en-CA"/>
              </w:rPr>
            </w:pPr>
            <w:r w:rsidRPr="008157AA">
              <w:rPr>
                <w:rFonts w:eastAsia="Times New Roman"/>
                <w:b/>
                <w:bCs/>
                <w:color w:val="000000"/>
                <w:sz w:val="20"/>
                <w:szCs w:val="20"/>
                <w:lang w:val="en-CA" w:eastAsia="en-CA"/>
              </w:rPr>
              <w:t>% Change</w:t>
            </w:r>
          </w:p>
        </w:tc>
        <w:tc>
          <w:tcPr>
            <w:tcW w:w="1328" w:type="dxa"/>
            <w:tcBorders>
              <w:top w:val="nil"/>
              <w:left w:val="single" w:sz="4" w:space="0" w:color="FFFFFF"/>
              <w:bottom w:val="nil"/>
              <w:right w:val="nil"/>
            </w:tcBorders>
            <w:shd w:val="clear" w:color="4472C4" w:fill="4472C4"/>
            <w:hideMark/>
          </w:tcPr>
          <w:p w14:paraId="15ADE574" w14:textId="77777777" w:rsidR="008157AA" w:rsidRPr="008157AA" w:rsidRDefault="008157AA" w:rsidP="008157AA">
            <w:pPr>
              <w:spacing w:after="0" w:line="240" w:lineRule="auto"/>
              <w:jc w:val="center"/>
              <w:rPr>
                <w:rFonts w:eastAsia="Times New Roman"/>
                <w:b/>
                <w:bCs/>
                <w:color w:val="000000"/>
                <w:sz w:val="20"/>
                <w:szCs w:val="20"/>
                <w:lang w:val="en-CA" w:eastAsia="en-CA"/>
              </w:rPr>
            </w:pPr>
            <w:r w:rsidRPr="008157AA">
              <w:rPr>
                <w:rFonts w:eastAsia="Times New Roman"/>
                <w:b/>
                <w:bCs/>
                <w:color w:val="000000"/>
                <w:sz w:val="20"/>
                <w:szCs w:val="20"/>
                <w:lang w:val="en-CA" w:eastAsia="en-CA"/>
              </w:rPr>
              <w:t>Anglophones</w:t>
            </w:r>
          </w:p>
        </w:tc>
        <w:tc>
          <w:tcPr>
            <w:tcW w:w="1428" w:type="dxa"/>
            <w:tcBorders>
              <w:top w:val="nil"/>
              <w:left w:val="single" w:sz="4" w:space="0" w:color="FFFFFF"/>
              <w:bottom w:val="nil"/>
              <w:right w:val="nil"/>
            </w:tcBorders>
            <w:shd w:val="clear" w:color="4472C4" w:fill="4472C4"/>
            <w:hideMark/>
          </w:tcPr>
          <w:p w14:paraId="4B4859F3" w14:textId="77777777" w:rsidR="008157AA" w:rsidRPr="008157AA" w:rsidRDefault="008157AA" w:rsidP="008157AA">
            <w:pPr>
              <w:spacing w:after="0" w:line="240" w:lineRule="auto"/>
              <w:jc w:val="center"/>
              <w:rPr>
                <w:rFonts w:eastAsia="Times New Roman"/>
                <w:b/>
                <w:bCs/>
                <w:color w:val="000000"/>
                <w:sz w:val="20"/>
                <w:szCs w:val="20"/>
                <w:lang w:val="en-CA" w:eastAsia="en-CA"/>
              </w:rPr>
            </w:pPr>
            <w:r w:rsidRPr="008157AA">
              <w:rPr>
                <w:rFonts w:eastAsia="Times New Roman"/>
                <w:b/>
                <w:bCs/>
                <w:color w:val="000000"/>
                <w:sz w:val="20"/>
                <w:szCs w:val="20"/>
                <w:lang w:val="en-CA" w:eastAsia="en-CA"/>
              </w:rPr>
              <w:t>Francophones</w:t>
            </w:r>
          </w:p>
        </w:tc>
      </w:tr>
      <w:tr w:rsidR="008157AA" w:rsidRPr="008157AA" w14:paraId="39DFEF3A" w14:textId="77777777" w:rsidTr="008157AA">
        <w:trPr>
          <w:trHeight w:val="300"/>
        </w:trPr>
        <w:tc>
          <w:tcPr>
            <w:tcW w:w="952" w:type="dxa"/>
            <w:tcBorders>
              <w:top w:val="single" w:sz="12" w:space="0" w:color="FFFFFF"/>
              <w:left w:val="nil"/>
              <w:bottom w:val="nil"/>
              <w:right w:val="nil"/>
            </w:tcBorders>
            <w:shd w:val="clear" w:color="B4C6E7" w:fill="B4C6E7"/>
            <w:noWrap/>
            <w:vAlign w:val="bottom"/>
            <w:hideMark/>
          </w:tcPr>
          <w:p w14:paraId="368F5CB8" w14:textId="77777777" w:rsidR="008157AA" w:rsidRPr="008157AA" w:rsidRDefault="008157AA" w:rsidP="008157AA">
            <w:pPr>
              <w:spacing w:after="0" w:line="240" w:lineRule="auto"/>
              <w:rPr>
                <w:rFonts w:eastAsia="Times New Roman"/>
                <w:color w:val="000000"/>
                <w:sz w:val="20"/>
                <w:szCs w:val="20"/>
                <w:lang w:val="en-CA" w:eastAsia="en-CA"/>
              </w:rPr>
            </w:pPr>
            <w:r w:rsidRPr="008157AA">
              <w:rPr>
                <w:rFonts w:eastAsia="Times New Roman"/>
                <w:color w:val="000000"/>
                <w:sz w:val="20"/>
                <w:szCs w:val="20"/>
                <w:lang w:val="en-CA" w:eastAsia="en-CA"/>
              </w:rPr>
              <w:t>Entity 1</w:t>
            </w:r>
          </w:p>
        </w:tc>
        <w:tc>
          <w:tcPr>
            <w:tcW w:w="1009" w:type="dxa"/>
            <w:tcBorders>
              <w:top w:val="single" w:sz="12" w:space="0" w:color="FFFFFF"/>
              <w:left w:val="single" w:sz="4" w:space="0" w:color="FFFFFF"/>
              <w:bottom w:val="nil"/>
              <w:right w:val="nil"/>
            </w:tcBorders>
            <w:shd w:val="clear" w:color="B4C6E7" w:fill="B4C6E7"/>
            <w:noWrap/>
            <w:vAlign w:val="bottom"/>
            <w:hideMark/>
          </w:tcPr>
          <w:p w14:paraId="34E4E100" w14:textId="77777777" w:rsidR="008157AA" w:rsidRPr="008157AA" w:rsidRDefault="008157AA" w:rsidP="008157AA">
            <w:pPr>
              <w:spacing w:after="0" w:line="240" w:lineRule="auto"/>
              <w:rPr>
                <w:rFonts w:eastAsia="Times New Roman"/>
                <w:color w:val="000000"/>
                <w:sz w:val="20"/>
                <w:szCs w:val="20"/>
                <w:lang w:val="en-CA" w:eastAsia="en-CA"/>
              </w:rPr>
            </w:pPr>
            <w:r w:rsidRPr="008157AA">
              <w:rPr>
                <w:rFonts w:eastAsia="Times New Roman"/>
                <w:color w:val="000000"/>
                <w:sz w:val="20"/>
                <w:szCs w:val="20"/>
                <w:lang w:val="en-CA" w:eastAsia="en-CA"/>
              </w:rPr>
              <w:t>Group A</w:t>
            </w:r>
          </w:p>
        </w:tc>
        <w:tc>
          <w:tcPr>
            <w:tcW w:w="1640" w:type="dxa"/>
            <w:tcBorders>
              <w:top w:val="single" w:sz="12" w:space="0" w:color="FFFFFF"/>
              <w:left w:val="single" w:sz="4" w:space="0" w:color="FFFFFF"/>
              <w:bottom w:val="nil"/>
              <w:right w:val="nil"/>
            </w:tcBorders>
            <w:shd w:val="clear" w:color="B4C6E7" w:fill="B4C6E7"/>
            <w:noWrap/>
            <w:hideMark/>
          </w:tcPr>
          <w:p w14:paraId="4B9894E4"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$320,212,400</w:t>
            </w:r>
          </w:p>
        </w:tc>
        <w:tc>
          <w:tcPr>
            <w:tcW w:w="1150" w:type="dxa"/>
            <w:tcBorders>
              <w:top w:val="single" w:sz="12" w:space="0" w:color="FFFFFF"/>
              <w:left w:val="single" w:sz="4" w:space="0" w:color="FFFFFF"/>
              <w:bottom w:val="nil"/>
              <w:right w:val="nil"/>
            </w:tcBorders>
            <w:shd w:val="clear" w:color="B4C6E7" w:fill="B4C6E7"/>
            <w:noWrap/>
            <w:hideMark/>
          </w:tcPr>
          <w:p w14:paraId="3794CB24"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4404</w:t>
            </w:r>
          </w:p>
        </w:tc>
        <w:tc>
          <w:tcPr>
            <w:tcW w:w="1150" w:type="dxa"/>
            <w:tcBorders>
              <w:top w:val="single" w:sz="12" w:space="0" w:color="FFFFFF"/>
              <w:left w:val="single" w:sz="4" w:space="0" w:color="FFFFFF"/>
              <w:bottom w:val="nil"/>
              <w:right w:val="nil"/>
            </w:tcBorders>
            <w:shd w:val="clear" w:color="B4C6E7" w:fill="B4C6E7"/>
            <w:noWrap/>
            <w:hideMark/>
          </w:tcPr>
          <w:p w14:paraId="6241F586"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4706</w:t>
            </w:r>
          </w:p>
        </w:tc>
        <w:tc>
          <w:tcPr>
            <w:tcW w:w="872" w:type="dxa"/>
            <w:tcBorders>
              <w:top w:val="single" w:sz="12" w:space="0" w:color="FFFFFF"/>
              <w:left w:val="single" w:sz="4" w:space="0" w:color="FFFFFF"/>
              <w:bottom w:val="nil"/>
              <w:right w:val="nil"/>
            </w:tcBorders>
            <w:shd w:val="clear" w:color="B4C6E7" w:fill="B4C6E7"/>
            <w:noWrap/>
            <w:vAlign w:val="bottom"/>
            <w:hideMark/>
          </w:tcPr>
          <w:p w14:paraId="17750088"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-6.42%</w:t>
            </w:r>
          </w:p>
        </w:tc>
        <w:tc>
          <w:tcPr>
            <w:tcW w:w="1328" w:type="dxa"/>
            <w:tcBorders>
              <w:top w:val="single" w:sz="12" w:space="0" w:color="FFFFFF"/>
              <w:left w:val="single" w:sz="4" w:space="0" w:color="FFFFFF"/>
              <w:bottom w:val="nil"/>
              <w:right w:val="nil"/>
            </w:tcBorders>
            <w:shd w:val="clear" w:color="B4C6E7" w:fill="B4C6E7"/>
            <w:noWrap/>
            <w:hideMark/>
          </w:tcPr>
          <w:p w14:paraId="7EA215A1"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245</w:t>
            </w:r>
          </w:p>
        </w:tc>
        <w:tc>
          <w:tcPr>
            <w:tcW w:w="1428" w:type="dxa"/>
            <w:tcBorders>
              <w:top w:val="single" w:sz="12" w:space="0" w:color="FFFFFF"/>
              <w:left w:val="single" w:sz="4" w:space="0" w:color="FFFFFF"/>
              <w:bottom w:val="nil"/>
              <w:right w:val="nil"/>
            </w:tcBorders>
            <w:shd w:val="clear" w:color="B4C6E7" w:fill="B4C6E7"/>
            <w:noWrap/>
            <w:hideMark/>
          </w:tcPr>
          <w:p w14:paraId="2B24B27B"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3985</w:t>
            </w:r>
          </w:p>
        </w:tc>
      </w:tr>
      <w:tr w:rsidR="008157AA" w:rsidRPr="008157AA" w14:paraId="6B8ACB97" w14:textId="77777777" w:rsidTr="008157AA">
        <w:trPr>
          <w:trHeight w:val="290"/>
        </w:trPr>
        <w:tc>
          <w:tcPr>
            <w:tcW w:w="952" w:type="dxa"/>
            <w:tcBorders>
              <w:top w:val="single" w:sz="4" w:space="0" w:color="FFFFFF"/>
              <w:left w:val="nil"/>
              <w:bottom w:val="nil"/>
              <w:right w:val="nil"/>
            </w:tcBorders>
            <w:shd w:val="clear" w:color="D9E1F2" w:fill="D9E1F2"/>
            <w:noWrap/>
            <w:vAlign w:val="bottom"/>
            <w:hideMark/>
          </w:tcPr>
          <w:p w14:paraId="5EE9560A" w14:textId="77777777" w:rsidR="008157AA" w:rsidRPr="008157AA" w:rsidRDefault="008157AA" w:rsidP="008157AA">
            <w:pPr>
              <w:spacing w:after="0" w:line="240" w:lineRule="auto"/>
              <w:rPr>
                <w:rFonts w:eastAsia="Times New Roman"/>
                <w:color w:val="000000"/>
                <w:sz w:val="20"/>
                <w:szCs w:val="20"/>
                <w:lang w:val="en-CA" w:eastAsia="en-CA"/>
              </w:rPr>
            </w:pPr>
            <w:r w:rsidRPr="008157AA">
              <w:rPr>
                <w:rFonts w:eastAsia="Times New Roman"/>
                <w:color w:val="000000"/>
                <w:sz w:val="20"/>
                <w:szCs w:val="20"/>
                <w:lang w:val="en-CA" w:eastAsia="en-CA"/>
              </w:rPr>
              <w:t>Entity 2</w:t>
            </w:r>
          </w:p>
        </w:tc>
        <w:tc>
          <w:tcPr>
            <w:tcW w:w="1009" w:type="dxa"/>
            <w:tcBorders>
              <w:top w:val="single" w:sz="4" w:space="0" w:color="FFFFFF"/>
              <w:left w:val="single" w:sz="4" w:space="0" w:color="FFFFFF"/>
              <w:bottom w:val="nil"/>
              <w:right w:val="nil"/>
            </w:tcBorders>
            <w:shd w:val="clear" w:color="D9E1F2" w:fill="D9E1F2"/>
            <w:noWrap/>
            <w:vAlign w:val="bottom"/>
            <w:hideMark/>
          </w:tcPr>
          <w:p w14:paraId="3896B2E5" w14:textId="77777777" w:rsidR="008157AA" w:rsidRPr="008157AA" w:rsidRDefault="008157AA" w:rsidP="008157AA">
            <w:pPr>
              <w:spacing w:after="0" w:line="240" w:lineRule="auto"/>
              <w:rPr>
                <w:rFonts w:eastAsia="Times New Roman"/>
                <w:color w:val="000000"/>
                <w:sz w:val="20"/>
                <w:szCs w:val="20"/>
                <w:lang w:val="en-CA" w:eastAsia="en-CA"/>
              </w:rPr>
            </w:pPr>
            <w:r w:rsidRPr="008157AA">
              <w:rPr>
                <w:rFonts w:eastAsia="Times New Roman"/>
                <w:color w:val="000000"/>
                <w:sz w:val="20"/>
                <w:szCs w:val="20"/>
                <w:lang w:val="en-CA" w:eastAsia="en-CA"/>
              </w:rPr>
              <w:t>Group B</w:t>
            </w:r>
          </w:p>
        </w:tc>
        <w:tc>
          <w:tcPr>
            <w:tcW w:w="1640" w:type="dxa"/>
            <w:tcBorders>
              <w:top w:val="single" w:sz="4" w:space="0" w:color="FFFFFF"/>
              <w:left w:val="single" w:sz="4" w:space="0" w:color="FFFFFF"/>
              <w:bottom w:val="nil"/>
              <w:right w:val="nil"/>
            </w:tcBorders>
            <w:shd w:val="clear" w:color="D9E1F2" w:fill="D9E1F2"/>
            <w:noWrap/>
            <w:vAlign w:val="bottom"/>
            <w:hideMark/>
          </w:tcPr>
          <w:p w14:paraId="0859DF4D"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$1,558,040,300</w:t>
            </w:r>
          </w:p>
        </w:tc>
        <w:tc>
          <w:tcPr>
            <w:tcW w:w="1150" w:type="dxa"/>
            <w:tcBorders>
              <w:top w:val="single" w:sz="4" w:space="0" w:color="FFFFFF"/>
              <w:left w:val="single" w:sz="4" w:space="0" w:color="FFFFFF"/>
              <w:bottom w:val="nil"/>
              <w:right w:val="nil"/>
            </w:tcBorders>
            <w:shd w:val="clear" w:color="D9E1F2" w:fill="D9E1F2"/>
            <w:noWrap/>
            <w:vAlign w:val="bottom"/>
            <w:hideMark/>
          </w:tcPr>
          <w:p w14:paraId="7AD833DB"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20306</w:t>
            </w:r>
          </w:p>
        </w:tc>
        <w:tc>
          <w:tcPr>
            <w:tcW w:w="1150" w:type="dxa"/>
            <w:tcBorders>
              <w:top w:val="single" w:sz="4" w:space="0" w:color="FFFFFF"/>
              <w:left w:val="single" w:sz="4" w:space="0" w:color="FFFFFF"/>
              <w:bottom w:val="nil"/>
              <w:right w:val="nil"/>
            </w:tcBorders>
            <w:shd w:val="clear" w:color="D9E1F2" w:fill="D9E1F2"/>
            <w:noWrap/>
            <w:vAlign w:val="bottom"/>
            <w:hideMark/>
          </w:tcPr>
          <w:p w14:paraId="534A632D"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20519</w:t>
            </w:r>
          </w:p>
        </w:tc>
        <w:tc>
          <w:tcPr>
            <w:tcW w:w="872" w:type="dxa"/>
            <w:tcBorders>
              <w:top w:val="single" w:sz="4" w:space="0" w:color="FFFFFF"/>
              <w:left w:val="single" w:sz="4" w:space="0" w:color="FFFFFF"/>
              <w:bottom w:val="nil"/>
              <w:right w:val="nil"/>
            </w:tcBorders>
            <w:shd w:val="clear" w:color="D9E1F2" w:fill="D9E1F2"/>
            <w:noWrap/>
            <w:vAlign w:val="bottom"/>
            <w:hideMark/>
          </w:tcPr>
          <w:p w14:paraId="67CB90AF"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-1.04%</w:t>
            </w:r>
          </w:p>
        </w:tc>
        <w:tc>
          <w:tcPr>
            <w:tcW w:w="1328" w:type="dxa"/>
            <w:tcBorders>
              <w:top w:val="single" w:sz="4" w:space="0" w:color="FFFFFF"/>
              <w:left w:val="single" w:sz="4" w:space="0" w:color="FFFFFF"/>
              <w:bottom w:val="nil"/>
              <w:right w:val="nil"/>
            </w:tcBorders>
            <w:shd w:val="clear" w:color="D9E1F2" w:fill="D9E1F2"/>
            <w:noWrap/>
            <w:vAlign w:val="bottom"/>
            <w:hideMark/>
          </w:tcPr>
          <w:p w14:paraId="077A7387"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1030</w:t>
            </w:r>
          </w:p>
        </w:tc>
        <w:tc>
          <w:tcPr>
            <w:tcW w:w="1428" w:type="dxa"/>
            <w:tcBorders>
              <w:top w:val="single" w:sz="4" w:space="0" w:color="FFFFFF"/>
              <w:left w:val="single" w:sz="4" w:space="0" w:color="FFFFFF"/>
              <w:bottom w:val="nil"/>
              <w:right w:val="nil"/>
            </w:tcBorders>
            <w:shd w:val="clear" w:color="D9E1F2" w:fill="D9E1F2"/>
            <w:noWrap/>
            <w:vAlign w:val="bottom"/>
            <w:hideMark/>
          </w:tcPr>
          <w:p w14:paraId="7FAEAF5F"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18810</w:t>
            </w:r>
          </w:p>
        </w:tc>
      </w:tr>
      <w:tr w:rsidR="008157AA" w:rsidRPr="008157AA" w14:paraId="2ECEFF2D" w14:textId="77777777" w:rsidTr="008157AA">
        <w:trPr>
          <w:trHeight w:val="290"/>
        </w:trPr>
        <w:tc>
          <w:tcPr>
            <w:tcW w:w="952" w:type="dxa"/>
            <w:tcBorders>
              <w:top w:val="single" w:sz="4" w:space="0" w:color="FFFFFF"/>
              <w:left w:val="nil"/>
              <w:bottom w:val="nil"/>
              <w:right w:val="nil"/>
            </w:tcBorders>
            <w:shd w:val="clear" w:color="B4C6E7" w:fill="B4C6E7"/>
            <w:noWrap/>
            <w:vAlign w:val="bottom"/>
            <w:hideMark/>
          </w:tcPr>
          <w:p w14:paraId="46B15844" w14:textId="77777777" w:rsidR="008157AA" w:rsidRPr="008157AA" w:rsidRDefault="008157AA" w:rsidP="008157AA">
            <w:pPr>
              <w:spacing w:after="0" w:line="240" w:lineRule="auto"/>
              <w:rPr>
                <w:rFonts w:eastAsia="Times New Roman"/>
                <w:color w:val="000000"/>
                <w:sz w:val="20"/>
                <w:szCs w:val="20"/>
                <w:lang w:val="en-CA" w:eastAsia="en-CA"/>
              </w:rPr>
            </w:pPr>
            <w:r w:rsidRPr="008157AA">
              <w:rPr>
                <w:rFonts w:eastAsia="Times New Roman"/>
                <w:color w:val="000000"/>
                <w:sz w:val="20"/>
                <w:szCs w:val="20"/>
                <w:lang w:val="en-CA" w:eastAsia="en-CA"/>
              </w:rPr>
              <w:t>Entity 3</w:t>
            </w:r>
          </w:p>
        </w:tc>
        <w:tc>
          <w:tcPr>
            <w:tcW w:w="1009" w:type="dxa"/>
            <w:tcBorders>
              <w:top w:val="single" w:sz="4" w:space="0" w:color="FFFFFF"/>
              <w:left w:val="single" w:sz="4" w:space="0" w:color="FFFFFF"/>
              <w:bottom w:val="nil"/>
              <w:right w:val="nil"/>
            </w:tcBorders>
            <w:shd w:val="clear" w:color="B4C6E7" w:fill="B4C6E7"/>
            <w:noWrap/>
            <w:vAlign w:val="bottom"/>
            <w:hideMark/>
          </w:tcPr>
          <w:p w14:paraId="1C93FEA6" w14:textId="77777777" w:rsidR="008157AA" w:rsidRPr="008157AA" w:rsidRDefault="008157AA" w:rsidP="008157AA">
            <w:pPr>
              <w:spacing w:after="0" w:line="240" w:lineRule="auto"/>
              <w:rPr>
                <w:rFonts w:eastAsia="Times New Roman"/>
                <w:color w:val="000000"/>
                <w:sz w:val="20"/>
                <w:szCs w:val="20"/>
                <w:lang w:val="en-CA" w:eastAsia="en-CA"/>
              </w:rPr>
            </w:pPr>
            <w:r w:rsidRPr="008157AA">
              <w:rPr>
                <w:rFonts w:eastAsia="Times New Roman"/>
                <w:color w:val="000000"/>
                <w:sz w:val="20"/>
                <w:szCs w:val="20"/>
                <w:lang w:val="en-CA" w:eastAsia="en-CA"/>
              </w:rPr>
              <w:t>Group A</w:t>
            </w:r>
          </w:p>
        </w:tc>
        <w:tc>
          <w:tcPr>
            <w:tcW w:w="1640" w:type="dxa"/>
            <w:tcBorders>
              <w:top w:val="single" w:sz="4" w:space="0" w:color="FFFFFF"/>
              <w:left w:val="single" w:sz="4" w:space="0" w:color="FFFFFF"/>
              <w:bottom w:val="nil"/>
              <w:right w:val="nil"/>
            </w:tcBorders>
            <w:shd w:val="clear" w:color="B4C6E7" w:fill="B4C6E7"/>
            <w:noWrap/>
            <w:vAlign w:val="bottom"/>
            <w:hideMark/>
          </w:tcPr>
          <w:p w14:paraId="749CE6E4"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$328,755,200</w:t>
            </w:r>
          </w:p>
        </w:tc>
        <w:tc>
          <w:tcPr>
            <w:tcW w:w="1150" w:type="dxa"/>
            <w:tcBorders>
              <w:top w:val="single" w:sz="4" w:space="0" w:color="FFFFFF"/>
              <w:left w:val="single" w:sz="4" w:space="0" w:color="FFFFFF"/>
              <w:bottom w:val="nil"/>
              <w:right w:val="nil"/>
            </w:tcBorders>
            <w:shd w:val="clear" w:color="B4C6E7" w:fill="B4C6E7"/>
            <w:noWrap/>
            <w:vAlign w:val="bottom"/>
            <w:hideMark/>
          </w:tcPr>
          <w:p w14:paraId="4252A8B2"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5906</w:t>
            </w:r>
          </w:p>
        </w:tc>
        <w:tc>
          <w:tcPr>
            <w:tcW w:w="1150" w:type="dxa"/>
            <w:tcBorders>
              <w:top w:val="single" w:sz="4" w:space="0" w:color="FFFFFF"/>
              <w:left w:val="single" w:sz="4" w:space="0" w:color="FFFFFF"/>
              <w:bottom w:val="nil"/>
              <w:right w:val="nil"/>
            </w:tcBorders>
            <w:shd w:val="clear" w:color="B4C6E7" w:fill="B4C6E7"/>
            <w:noWrap/>
            <w:vAlign w:val="bottom"/>
            <w:hideMark/>
          </w:tcPr>
          <w:p w14:paraId="781E95D8"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6039</w:t>
            </w:r>
          </w:p>
        </w:tc>
        <w:tc>
          <w:tcPr>
            <w:tcW w:w="872" w:type="dxa"/>
            <w:tcBorders>
              <w:top w:val="single" w:sz="4" w:space="0" w:color="FFFFFF"/>
              <w:left w:val="single" w:sz="4" w:space="0" w:color="FFFFFF"/>
              <w:bottom w:val="nil"/>
              <w:right w:val="nil"/>
            </w:tcBorders>
            <w:shd w:val="clear" w:color="B4C6E7" w:fill="B4C6E7"/>
            <w:noWrap/>
            <w:vAlign w:val="bottom"/>
            <w:hideMark/>
          </w:tcPr>
          <w:p w14:paraId="48676FDC"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-2.20%</w:t>
            </w:r>
          </w:p>
        </w:tc>
        <w:tc>
          <w:tcPr>
            <w:tcW w:w="1328" w:type="dxa"/>
            <w:tcBorders>
              <w:top w:val="single" w:sz="4" w:space="0" w:color="FFFFFF"/>
              <w:left w:val="single" w:sz="4" w:space="0" w:color="FFFFFF"/>
              <w:bottom w:val="nil"/>
              <w:right w:val="nil"/>
            </w:tcBorders>
            <w:shd w:val="clear" w:color="B4C6E7" w:fill="B4C6E7"/>
            <w:noWrap/>
            <w:vAlign w:val="bottom"/>
            <w:hideMark/>
          </w:tcPr>
          <w:p w14:paraId="433B3672"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255</w:t>
            </w:r>
          </w:p>
        </w:tc>
        <w:tc>
          <w:tcPr>
            <w:tcW w:w="1428" w:type="dxa"/>
            <w:tcBorders>
              <w:top w:val="single" w:sz="4" w:space="0" w:color="FFFFFF"/>
              <w:left w:val="single" w:sz="4" w:space="0" w:color="FFFFFF"/>
              <w:bottom w:val="nil"/>
              <w:right w:val="nil"/>
            </w:tcBorders>
            <w:shd w:val="clear" w:color="B4C6E7" w:fill="B4C6E7"/>
            <w:noWrap/>
            <w:vAlign w:val="bottom"/>
            <w:hideMark/>
          </w:tcPr>
          <w:p w14:paraId="51A47FFD"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5480</w:t>
            </w:r>
          </w:p>
        </w:tc>
      </w:tr>
      <w:tr w:rsidR="008157AA" w:rsidRPr="008157AA" w14:paraId="3496AD2C" w14:textId="77777777" w:rsidTr="008157AA">
        <w:trPr>
          <w:trHeight w:val="290"/>
        </w:trPr>
        <w:tc>
          <w:tcPr>
            <w:tcW w:w="952" w:type="dxa"/>
            <w:tcBorders>
              <w:top w:val="single" w:sz="4" w:space="0" w:color="FFFFFF"/>
              <w:left w:val="nil"/>
              <w:bottom w:val="nil"/>
              <w:right w:val="nil"/>
            </w:tcBorders>
            <w:shd w:val="clear" w:color="D9E1F2" w:fill="D9E1F2"/>
            <w:noWrap/>
            <w:vAlign w:val="bottom"/>
            <w:hideMark/>
          </w:tcPr>
          <w:p w14:paraId="56203B43" w14:textId="77777777" w:rsidR="008157AA" w:rsidRPr="008157AA" w:rsidRDefault="008157AA" w:rsidP="008157AA">
            <w:pPr>
              <w:spacing w:after="0" w:line="240" w:lineRule="auto"/>
              <w:rPr>
                <w:rFonts w:eastAsia="Times New Roman"/>
                <w:color w:val="000000"/>
                <w:sz w:val="20"/>
                <w:szCs w:val="20"/>
                <w:lang w:val="en-CA" w:eastAsia="en-CA"/>
              </w:rPr>
            </w:pPr>
            <w:r w:rsidRPr="008157AA">
              <w:rPr>
                <w:rFonts w:eastAsia="Times New Roman"/>
                <w:color w:val="000000"/>
                <w:sz w:val="20"/>
                <w:szCs w:val="20"/>
                <w:lang w:val="en-CA" w:eastAsia="en-CA"/>
              </w:rPr>
              <w:t>Entity 4</w:t>
            </w:r>
          </w:p>
        </w:tc>
        <w:tc>
          <w:tcPr>
            <w:tcW w:w="1009" w:type="dxa"/>
            <w:tcBorders>
              <w:top w:val="single" w:sz="4" w:space="0" w:color="FFFFFF"/>
              <w:left w:val="single" w:sz="4" w:space="0" w:color="FFFFFF"/>
              <w:bottom w:val="nil"/>
              <w:right w:val="nil"/>
            </w:tcBorders>
            <w:shd w:val="clear" w:color="D9E1F2" w:fill="D9E1F2"/>
            <w:noWrap/>
            <w:vAlign w:val="bottom"/>
            <w:hideMark/>
          </w:tcPr>
          <w:p w14:paraId="2D8E51FB" w14:textId="77777777" w:rsidR="008157AA" w:rsidRPr="008157AA" w:rsidRDefault="008157AA" w:rsidP="008157AA">
            <w:pPr>
              <w:spacing w:after="0" w:line="240" w:lineRule="auto"/>
              <w:rPr>
                <w:rFonts w:eastAsia="Times New Roman"/>
                <w:color w:val="000000"/>
                <w:sz w:val="20"/>
                <w:szCs w:val="20"/>
                <w:lang w:val="en-CA" w:eastAsia="en-CA"/>
              </w:rPr>
            </w:pPr>
            <w:r w:rsidRPr="008157AA">
              <w:rPr>
                <w:rFonts w:eastAsia="Times New Roman"/>
                <w:color w:val="000000"/>
                <w:sz w:val="20"/>
                <w:szCs w:val="20"/>
                <w:lang w:val="en-CA" w:eastAsia="en-CA"/>
              </w:rPr>
              <w:t>Group A</w:t>
            </w:r>
          </w:p>
        </w:tc>
        <w:tc>
          <w:tcPr>
            <w:tcW w:w="1640" w:type="dxa"/>
            <w:tcBorders>
              <w:top w:val="single" w:sz="4" w:space="0" w:color="FFFFFF"/>
              <w:left w:val="single" w:sz="4" w:space="0" w:color="FFFFFF"/>
              <w:bottom w:val="nil"/>
              <w:right w:val="nil"/>
            </w:tcBorders>
            <w:shd w:val="clear" w:color="D9E1F2" w:fill="D9E1F2"/>
            <w:noWrap/>
            <w:vAlign w:val="bottom"/>
            <w:hideMark/>
          </w:tcPr>
          <w:p w14:paraId="47EBDF74"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$870,714,800</w:t>
            </w:r>
          </w:p>
        </w:tc>
        <w:tc>
          <w:tcPr>
            <w:tcW w:w="1150" w:type="dxa"/>
            <w:tcBorders>
              <w:top w:val="single" w:sz="4" w:space="0" w:color="FFFFFF"/>
              <w:left w:val="single" w:sz="4" w:space="0" w:color="FFFFFF"/>
              <w:bottom w:val="nil"/>
              <w:right w:val="nil"/>
            </w:tcBorders>
            <w:shd w:val="clear" w:color="D9E1F2" w:fill="D9E1F2"/>
            <w:noWrap/>
            <w:vAlign w:val="bottom"/>
            <w:hideMark/>
          </w:tcPr>
          <w:p w14:paraId="3EE833BE"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8992</w:t>
            </w:r>
          </w:p>
        </w:tc>
        <w:tc>
          <w:tcPr>
            <w:tcW w:w="1150" w:type="dxa"/>
            <w:tcBorders>
              <w:top w:val="single" w:sz="4" w:space="0" w:color="FFFFFF"/>
              <w:left w:val="single" w:sz="4" w:space="0" w:color="FFFFFF"/>
              <w:bottom w:val="nil"/>
              <w:right w:val="nil"/>
            </w:tcBorders>
            <w:shd w:val="clear" w:color="D9E1F2" w:fill="D9E1F2"/>
            <w:noWrap/>
            <w:vAlign w:val="bottom"/>
            <w:hideMark/>
          </w:tcPr>
          <w:p w14:paraId="6D15C840"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9550</w:t>
            </w:r>
          </w:p>
        </w:tc>
        <w:tc>
          <w:tcPr>
            <w:tcW w:w="872" w:type="dxa"/>
            <w:tcBorders>
              <w:top w:val="single" w:sz="4" w:space="0" w:color="FFFFFF"/>
              <w:left w:val="single" w:sz="4" w:space="0" w:color="FFFFFF"/>
              <w:bottom w:val="nil"/>
              <w:right w:val="nil"/>
            </w:tcBorders>
            <w:shd w:val="clear" w:color="D9E1F2" w:fill="D9E1F2"/>
            <w:noWrap/>
            <w:vAlign w:val="bottom"/>
            <w:hideMark/>
          </w:tcPr>
          <w:p w14:paraId="77B04358"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-5.84%</w:t>
            </w:r>
          </w:p>
        </w:tc>
        <w:tc>
          <w:tcPr>
            <w:tcW w:w="1328" w:type="dxa"/>
            <w:tcBorders>
              <w:top w:val="single" w:sz="4" w:space="0" w:color="FFFFFF"/>
              <w:left w:val="single" w:sz="4" w:space="0" w:color="FFFFFF"/>
              <w:bottom w:val="nil"/>
              <w:right w:val="nil"/>
            </w:tcBorders>
            <w:shd w:val="clear" w:color="D9E1F2" w:fill="D9E1F2"/>
            <w:noWrap/>
            <w:vAlign w:val="bottom"/>
            <w:hideMark/>
          </w:tcPr>
          <w:p w14:paraId="4014902A"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1385</w:t>
            </w:r>
          </w:p>
        </w:tc>
        <w:tc>
          <w:tcPr>
            <w:tcW w:w="1428" w:type="dxa"/>
            <w:tcBorders>
              <w:top w:val="single" w:sz="4" w:space="0" w:color="FFFFFF"/>
              <w:left w:val="single" w:sz="4" w:space="0" w:color="FFFFFF"/>
              <w:bottom w:val="nil"/>
              <w:right w:val="nil"/>
            </w:tcBorders>
            <w:shd w:val="clear" w:color="D9E1F2" w:fill="D9E1F2"/>
            <w:noWrap/>
            <w:vAlign w:val="bottom"/>
            <w:hideMark/>
          </w:tcPr>
          <w:p w14:paraId="6FEB6536"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7430</w:t>
            </w:r>
          </w:p>
        </w:tc>
      </w:tr>
      <w:tr w:rsidR="008157AA" w:rsidRPr="008157AA" w14:paraId="2CCF664B" w14:textId="77777777" w:rsidTr="008157AA">
        <w:trPr>
          <w:trHeight w:val="290"/>
        </w:trPr>
        <w:tc>
          <w:tcPr>
            <w:tcW w:w="952" w:type="dxa"/>
            <w:tcBorders>
              <w:top w:val="single" w:sz="4" w:space="0" w:color="FFFFFF"/>
              <w:left w:val="nil"/>
              <w:bottom w:val="nil"/>
              <w:right w:val="nil"/>
            </w:tcBorders>
            <w:shd w:val="clear" w:color="B4C6E7" w:fill="B4C6E7"/>
            <w:noWrap/>
            <w:vAlign w:val="bottom"/>
            <w:hideMark/>
          </w:tcPr>
          <w:p w14:paraId="137E41D6" w14:textId="77777777" w:rsidR="008157AA" w:rsidRPr="008157AA" w:rsidRDefault="008157AA" w:rsidP="008157AA">
            <w:pPr>
              <w:spacing w:after="0" w:line="240" w:lineRule="auto"/>
              <w:rPr>
                <w:rFonts w:eastAsia="Times New Roman"/>
                <w:color w:val="000000"/>
                <w:sz w:val="20"/>
                <w:szCs w:val="20"/>
                <w:lang w:val="en-CA" w:eastAsia="en-CA"/>
              </w:rPr>
            </w:pPr>
            <w:r w:rsidRPr="008157AA">
              <w:rPr>
                <w:rFonts w:eastAsia="Times New Roman"/>
                <w:color w:val="000000"/>
                <w:sz w:val="20"/>
                <w:szCs w:val="20"/>
                <w:lang w:val="en-CA" w:eastAsia="en-CA"/>
              </w:rPr>
              <w:t>Entity 5</w:t>
            </w:r>
          </w:p>
        </w:tc>
        <w:tc>
          <w:tcPr>
            <w:tcW w:w="1009" w:type="dxa"/>
            <w:tcBorders>
              <w:top w:val="single" w:sz="4" w:space="0" w:color="FFFFFF"/>
              <w:left w:val="single" w:sz="4" w:space="0" w:color="FFFFFF"/>
              <w:bottom w:val="nil"/>
              <w:right w:val="nil"/>
            </w:tcBorders>
            <w:shd w:val="clear" w:color="B4C6E7" w:fill="B4C6E7"/>
            <w:noWrap/>
            <w:vAlign w:val="bottom"/>
            <w:hideMark/>
          </w:tcPr>
          <w:p w14:paraId="6DB061D7" w14:textId="77777777" w:rsidR="008157AA" w:rsidRPr="008157AA" w:rsidRDefault="008157AA" w:rsidP="008157AA">
            <w:pPr>
              <w:spacing w:after="0" w:line="240" w:lineRule="auto"/>
              <w:rPr>
                <w:rFonts w:eastAsia="Times New Roman"/>
                <w:color w:val="000000"/>
                <w:sz w:val="20"/>
                <w:szCs w:val="20"/>
                <w:lang w:val="en-CA" w:eastAsia="en-CA"/>
              </w:rPr>
            </w:pPr>
            <w:r w:rsidRPr="008157AA">
              <w:rPr>
                <w:rFonts w:eastAsia="Times New Roman"/>
                <w:color w:val="000000"/>
                <w:sz w:val="20"/>
                <w:szCs w:val="20"/>
                <w:lang w:val="en-CA" w:eastAsia="en-CA"/>
              </w:rPr>
              <w:t>Group A</w:t>
            </w:r>
          </w:p>
        </w:tc>
        <w:tc>
          <w:tcPr>
            <w:tcW w:w="1640" w:type="dxa"/>
            <w:tcBorders>
              <w:top w:val="single" w:sz="4" w:space="0" w:color="FFFFFF"/>
              <w:left w:val="single" w:sz="4" w:space="0" w:color="FFFFFF"/>
              <w:bottom w:val="nil"/>
              <w:right w:val="nil"/>
            </w:tcBorders>
            <w:shd w:val="clear" w:color="B4C6E7" w:fill="B4C6E7"/>
            <w:noWrap/>
            <w:vAlign w:val="bottom"/>
            <w:hideMark/>
          </w:tcPr>
          <w:p w14:paraId="22A670AA"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$556,189,500</w:t>
            </w:r>
          </w:p>
        </w:tc>
        <w:tc>
          <w:tcPr>
            <w:tcW w:w="1150" w:type="dxa"/>
            <w:tcBorders>
              <w:top w:val="single" w:sz="4" w:space="0" w:color="FFFFFF"/>
              <w:left w:val="single" w:sz="4" w:space="0" w:color="FFFFFF"/>
              <w:bottom w:val="nil"/>
              <w:right w:val="nil"/>
            </w:tcBorders>
            <w:shd w:val="clear" w:color="B4C6E7" w:fill="B4C6E7"/>
            <w:noWrap/>
            <w:vAlign w:val="bottom"/>
            <w:hideMark/>
          </w:tcPr>
          <w:p w14:paraId="663CF176"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9429</w:t>
            </w:r>
          </w:p>
        </w:tc>
        <w:tc>
          <w:tcPr>
            <w:tcW w:w="1150" w:type="dxa"/>
            <w:tcBorders>
              <w:top w:val="single" w:sz="4" w:space="0" w:color="FFFFFF"/>
              <w:left w:val="single" w:sz="4" w:space="0" w:color="FFFFFF"/>
              <w:bottom w:val="nil"/>
              <w:right w:val="nil"/>
            </w:tcBorders>
            <w:shd w:val="clear" w:color="B4C6E7" w:fill="B4C6E7"/>
            <w:noWrap/>
            <w:vAlign w:val="bottom"/>
            <w:hideMark/>
          </w:tcPr>
          <w:p w14:paraId="4B08358D"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10151</w:t>
            </w:r>
          </w:p>
        </w:tc>
        <w:tc>
          <w:tcPr>
            <w:tcW w:w="872" w:type="dxa"/>
            <w:tcBorders>
              <w:top w:val="single" w:sz="4" w:space="0" w:color="FFFFFF"/>
              <w:left w:val="single" w:sz="4" w:space="0" w:color="FFFFFF"/>
              <w:bottom w:val="nil"/>
              <w:right w:val="nil"/>
            </w:tcBorders>
            <w:shd w:val="clear" w:color="B4C6E7" w:fill="B4C6E7"/>
            <w:noWrap/>
            <w:vAlign w:val="bottom"/>
            <w:hideMark/>
          </w:tcPr>
          <w:p w14:paraId="14FB3B77"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-7.11%</w:t>
            </w:r>
          </w:p>
        </w:tc>
        <w:tc>
          <w:tcPr>
            <w:tcW w:w="1328" w:type="dxa"/>
            <w:tcBorders>
              <w:top w:val="single" w:sz="4" w:space="0" w:color="FFFFFF"/>
              <w:left w:val="single" w:sz="4" w:space="0" w:color="FFFFFF"/>
              <w:bottom w:val="nil"/>
              <w:right w:val="nil"/>
            </w:tcBorders>
            <w:shd w:val="clear" w:color="B4C6E7" w:fill="B4C6E7"/>
            <w:noWrap/>
            <w:vAlign w:val="bottom"/>
            <w:hideMark/>
          </w:tcPr>
          <w:p w14:paraId="05250486"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8115</w:t>
            </w:r>
          </w:p>
        </w:tc>
        <w:tc>
          <w:tcPr>
            <w:tcW w:w="1428" w:type="dxa"/>
            <w:tcBorders>
              <w:top w:val="single" w:sz="4" w:space="0" w:color="FFFFFF"/>
              <w:left w:val="single" w:sz="4" w:space="0" w:color="FFFFFF"/>
              <w:bottom w:val="nil"/>
              <w:right w:val="nil"/>
            </w:tcBorders>
            <w:shd w:val="clear" w:color="B4C6E7" w:fill="B4C6E7"/>
            <w:noWrap/>
            <w:vAlign w:val="bottom"/>
            <w:hideMark/>
          </w:tcPr>
          <w:p w14:paraId="782B364F"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1600</w:t>
            </w:r>
          </w:p>
        </w:tc>
      </w:tr>
      <w:tr w:rsidR="008157AA" w:rsidRPr="008157AA" w14:paraId="0E93D0C4" w14:textId="77777777" w:rsidTr="008157AA">
        <w:trPr>
          <w:trHeight w:val="290"/>
        </w:trPr>
        <w:tc>
          <w:tcPr>
            <w:tcW w:w="952" w:type="dxa"/>
            <w:tcBorders>
              <w:top w:val="single" w:sz="4" w:space="0" w:color="FFFFFF"/>
              <w:left w:val="nil"/>
              <w:bottom w:val="nil"/>
              <w:right w:val="nil"/>
            </w:tcBorders>
            <w:shd w:val="clear" w:color="D9E1F2" w:fill="D9E1F2"/>
            <w:noWrap/>
            <w:vAlign w:val="bottom"/>
            <w:hideMark/>
          </w:tcPr>
          <w:p w14:paraId="2B940CCF" w14:textId="77777777" w:rsidR="008157AA" w:rsidRPr="008157AA" w:rsidRDefault="008157AA" w:rsidP="008157AA">
            <w:pPr>
              <w:spacing w:after="0" w:line="240" w:lineRule="auto"/>
              <w:rPr>
                <w:rFonts w:eastAsia="Times New Roman"/>
                <w:color w:val="000000"/>
                <w:sz w:val="20"/>
                <w:szCs w:val="20"/>
                <w:lang w:val="en-CA" w:eastAsia="en-CA"/>
              </w:rPr>
            </w:pPr>
            <w:r w:rsidRPr="008157AA">
              <w:rPr>
                <w:rFonts w:eastAsia="Times New Roman"/>
                <w:color w:val="000000"/>
                <w:sz w:val="20"/>
                <w:szCs w:val="20"/>
                <w:lang w:val="en-CA" w:eastAsia="en-CA"/>
              </w:rPr>
              <w:t>Entity 6</w:t>
            </w:r>
          </w:p>
        </w:tc>
        <w:tc>
          <w:tcPr>
            <w:tcW w:w="1009" w:type="dxa"/>
            <w:tcBorders>
              <w:top w:val="single" w:sz="4" w:space="0" w:color="FFFFFF"/>
              <w:left w:val="single" w:sz="4" w:space="0" w:color="FFFFFF"/>
              <w:bottom w:val="nil"/>
              <w:right w:val="nil"/>
            </w:tcBorders>
            <w:shd w:val="clear" w:color="D9E1F2" w:fill="D9E1F2"/>
            <w:noWrap/>
            <w:vAlign w:val="bottom"/>
            <w:hideMark/>
          </w:tcPr>
          <w:p w14:paraId="69BC3890" w14:textId="77777777" w:rsidR="008157AA" w:rsidRPr="008157AA" w:rsidRDefault="008157AA" w:rsidP="008157AA">
            <w:pPr>
              <w:spacing w:after="0" w:line="240" w:lineRule="auto"/>
              <w:rPr>
                <w:rFonts w:eastAsia="Times New Roman"/>
                <w:color w:val="000000"/>
                <w:sz w:val="20"/>
                <w:szCs w:val="20"/>
                <w:lang w:val="en-CA" w:eastAsia="en-CA"/>
              </w:rPr>
            </w:pPr>
            <w:r w:rsidRPr="008157AA">
              <w:rPr>
                <w:rFonts w:eastAsia="Times New Roman"/>
                <w:color w:val="000000"/>
                <w:sz w:val="20"/>
                <w:szCs w:val="20"/>
                <w:lang w:val="en-CA" w:eastAsia="en-CA"/>
              </w:rPr>
              <w:t>Group A</w:t>
            </w:r>
          </w:p>
        </w:tc>
        <w:tc>
          <w:tcPr>
            <w:tcW w:w="1640" w:type="dxa"/>
            <w:tcBorders>
              <w:top w:val="single" w:sz="4" w:space="0" w:color="FFFFFF"/>
              <w:left w:val="single" w:sz="4" w:space="0" w:color="FFFFFF"/>
              <w:bottom w:val="nil"/>
              <w:right w:val="nil"/>
            </w:tcBorders>
            <w:shd w:val="clear" w:color="D9E1F2" w:fill="D9E1F2"/>
            <w:noWrap/>
            <w:vAlign w:val="bottom"/>
            <w:hideMark/>
          </w:tcPr>
          <w:p w14:paraId="74D2E492"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$385,385,800</w:t>
            </w:r>
          </w:p>
        </w:tc>
        <w:tc>
          <w:tcPr>
            <w:tcW w:w="1150" w:type="dxa"/>
            <w:tcBorders>
              <w:top w:val="single" w:sz="4" w:space="0" w:color="FFFFFF"/>
              <w:left w:val="single" w:sz="4" w:space="0" w:color="FFFFFF"/>
              <w:bottom w:val="nil"/>
              <w:right w:val="nil"/>
            </w:tcBorders>
            <w:shd w:val="clear" w:color="D9E1F2" w:fill="D9E1F2"/>
            <w:noWrap/>
            <w:vAlign w:val="bottom"/>
            <w:hideMark/>
          </w:tcPr>
          <w:p w14:paraId="5997A355"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6403</w:t>
            </w:r>
          </w:p>
        </w:tc>
        <w:tc>
          <w:tcPr>
            <w:tcW w:w="1150" w:type="dxa"/>
            <w:tcBorders>
              <w:top w:val="single" w:sz="4" w:space="0" w:color="FFFFFF"/>
              <w:left w:val="single" w:sz="4" w:space="0" w:color="FFFFFF"/>
              <w:bottom w:val="nil"/>
              <w:right w:val="nil"/>
            </w:tcBorders>
            <w:shd w:val="clear" w:color="D9E1F2" w:fill="D9E1F2"/>
            <w:noWrap/>
            <w:vAlign w:val="bottom"/>
            <w:hideMark/>
          </w:tcPr>
          <w:p w14:paraId="2961DC1B"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6433</w:t>
            </w:r>
          </w:p>
        </w:tc>
        <w:tc>
          <w:tcPr>
            <w:tcW w:w="872" w:type="dxa"/>
            <w:tcBorders>
              <w:top w:val="single" w:sz="4" w:space="0" w:color="FFFFFF"/>
              <w:left w:val="single" w:sz="4" w:space="0" w:color="FFFFFF"/>
              <w:bottom w:val="nil"/>
              <w:right w:val="nil"/>
            </w:tcBorders>
            <w:shd w:val="clear" w:color="D9E1F2" w:fill="D9E1F2"/>
            <w:noWrap/>
            <w:vAlign w:val="bottom"/>
            <w:hideMark/>
          </w:tcPr>
          <w:p w14:paraId="2A45C4B0"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-0.47%</w:t>
            </w:r>
          </w:p>
        </w:tc>
        <w:tc>
          <w:tcPr>
            <w:tcW w:w="1328" w:type="dxa"/>
            <w:tcBorders>
              <w:top w:val="single" w:sz="4" w:space="0" w:color="FFFFFF"/>
              <w:left w:val="single" w:sz="4" w:space="0" w:color="FFFFFF"/>
              <w:bottom w:val="nil"/>
              <w:right w:val="nil"/>
            </w:tcBorders>
            <w:shd w:val="clear" w:color="D9E1F2" w:fill="D9E1F2"/>
            <w:noWrap/>
            <w:vAlign w:val="bottom"/>
            <w:hideMark/>
          </w:tcPr>
          <w:p w14:paraId="51975559"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445</w:t>
            </w:r>
          </w:p>
        </w:tc>
        <w:tc>
          <w:tcPr>
            <w:tcW w:w="1428" w:type="dxa"/>
            <w:tcBorders>
              <w:top w:val="single" w:sz="4" w:space="0" w:color="FFFFFF"/>
              <w:left w:val="single" w:sz="4" w:space="0" w:color="FFFFFF"/>
              <w:bottom w:val="nil"/>
              <w:right w:val="nil"/>
            </w:tcBorders>
            <w:shd w:val="clear" w:color="D9E1F2" w:fill="D9E1F2"/>
            <w:noWrap/>
            <w:vAlign w:val="bottom"/>
            <w:hideMark/>
          </w:tcPr>
          <w:p w14:paraId="35B22720"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6205</w:t>
            </w:r>
          </w:p>
        </w:tc>
      </w:tr>
      <w:tr w:rsidR="008157AA" w:rsidRPr="008157AA" w14:paraId="14BABE54" w14:textId="77777777" w:rsidTr="008157AA">
        <w:trPr>
          <w:trHeight w:val="290"/>
        </w:trPr>
        <w:tc>
          <w:tcPr>
            <w:tcW w:w="1961" w:type="dxa"/>
            <w:gridSpan w:val="2"/>
            <w:tcBorders>
              <w:top w:val="single" w:sz="4" w:space="0" w:color="FFFFFF"/>
              <w:left w:val="nil"/>
              <w:bottom w:val="nil"/>
              <w:right w:val="single" w:sz="4" w:space="0" w:color="FFFFFF"/>
            </w:tcBorders>
            <w:shd w:val="clear" w:color="B4C6E7" w:fill="B4C6E7"/>
            <w:noWrap/>
            <w:vAlign w:val="bottom"/>
            <w:hideMark/>
          </w:tcPr>
          <w:p w14:paraId="57BCB662" w14:textId="77777777" w:rsidR="008157AA" w:rsidRPr="008157AA" w:rsidRDefault="008157AA" w:rsidP="008157AA">
            <w:pPr>
              <w:spacing w:after="0" w:line="240" w:lineRule="auto"/>
              <w:jc w:val="right"/>
              <w:rPr>
                <w:rFonts w:eastAsia="Times New Roman"/>
                <w:b/>
                <w:bCs/>
                <w:color w:val="000000"/>
                <w:sz w:val="20"/>
                <w:szCs w:val="20"/>
                <w:lang w:val="en-CA" w:eastAsia="en-CA"/>
              </w:rPr>
            </w:pPr>
            <w:r w:rsidRPr="008157AA">
              <w:rPr>
                <w:rFonts w:eastAsia="Times New Roman"/>
                <w:b/>
                <w:bCs/>
                <w:color w:val="000000"/>
                <w:sz w:val="20"/>
                <w:szCs w:val="20"/>
                <w:lang w:val="en-CA" w:eastAsia="en-CA"/>
              </w:rPr>
              <w:t>Totals</w:t>
            </w:r>
          </w:p>
        </w:tc>
        <w:tc>
          <w:tcPr>
            <w:tcW w:w="1640" w:type="dxa"/>
            <w:tcBorders>
              <w:top w:val="single" w:sz="4" w:space="0" w:color="FFFFFF"/>
              <w:left w:val="nil"/>
              <w:bottom w:val="nil"/>
              <w:right w:val="nil"/>
            </w:tcBorders>
            <w:shd w:val="clear" w:color="B4C6E7" w:fill="B4C6E7"/>
            <w:vAlign w:val="center"/>
            <w:hideMark/>
          </w:tcPr>
          <w:p w14:paraId="7DADBCDE"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$4,019,298,000</w:t>
            </w:r>
          </w:p>
        </w:tc>
        <w:tc>
          <w:tcPr>
            <w:tcW w:w="1150" w:type="dxa"/>
            <w:tcBorders>
              <w:top w:val="single" w:sz="4" w:space="0" w:color="FFFFFF"/>
              <w:left w:val="single" w:sz="4" w:space="0" w:color="FFFFFF"/>
              <w:bottom w:val="nil"/>
              <w:right w:val="nil"/>
            </w:tcBorders>
            <w:shd w:val="clear" w:color="B4C6E7" w:fill="B4C6E7"/>
            <w:vAlign w:val="center"/>
            <w:hideMark/>
          </w:tcPr>
          <w:p w14:paraId="0D3386BD"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55440</w:t>
            </w:r>
          </w:p>
        </w:tc>
        <w:tc>
          <w:tcPr>
            <w:tcW w:w="1150" w:type="dxa"/>
            <w:tcBorders>
              <w:top w:val="single" w:sz="4" w:space="0" w:color="FFFFFF"/>
              <w:left w:val="single" w:sz="4" w:space="0" w:color="FFFFFF"/>
              <w:bottom w:val="nil"/>
              <w:right w:val="nil"/>
            </w:tcBorders>
            <w:shd w:val="clear" w:color="B4C6E7" w:fill="B4C6E7"/>
            <w:vAlign w:val="center"/>
            <w:hideMark/>
          </w:tcPr>
          <w:p w14:paraId="0CC4BE54"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57398</w:t>
            </w:r>
          </w:p>
        </w:tc>
        <w:tc>
          <w:tcPr>
            <w:tcW w:w="872" w:type="dxa"/>
            <w:tcBorders>
              <w:top w:val="single" w:sz="4" w:space="0" w:color="FFFFFF"/>
              <w:left w:val="single" w:sz="4" w:space="0" w:color="FFFFFF"/>
              <w:bottom w:val="nil"/>
              <w:right w:val="nil"/>
            </w:tcBorders>
            <w:shd w:val="clear" w:color="B4C6E7" w:fill="B4C6E7"/>
            <w:vAlign w:val="center"/>
            <w:hideMark/>
          </w:tcPr>
          <w:p w14:paraId="72C662CC"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-3.41%</w:t>
            </w:r>
          </w:p>
        </w:tc>
        <w:tc>
          <w:tcPr>
            <w:tcW w:w="1328" w:type="dxa"/>
            <w:tcBorders>
              <w:top w:val="single" w:sz="4" w:space="0" w:color="FFFFFF"/>
              <w:left w:val="single" w:sz="4" w:space="0" w:color="FFFFFF"/>
              <w:bottom w:val="nil"/>
              <w:right w:val="nil"/>
            </w:tcBorders>
            <w:shd w:val="clear" w:color="B4C6E7" w:fill="B4C6E7"/>
            <w:vAlign w:val="center"/>
            <w:hideMark/>
          </w:tcPr>
          <w:p w14:paraId="3FC9147C"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11475</w:t>
            </w:r>
          </w:p>
        </w:tc>
        <w:tc>
          <w:tcPr>
            <w:tcW w:w="1428" w:type="dxa"/>
            <w:tcBorders>
              <w:top w:val="single" w:sz="4" w:space="0" w:color="FFFFFF"/>
              <w:left w:val="single" w:sz="4" w:space="0" w:color="FFFFFF"/>
              <w:bottom w:val="nil"/>
              <w:right w:val="nil"/>
            </w:tcBorders>
            <w:shd w:val="clear" w:color="B4C6E7" w:fill="B4C6E7"/>
            <w:vAlign w:val="center"/>
            <w:hideMark/>
          </w:tcPr>
          <w:p w14:paraId="2023B3F0" w14:textId="77777777" w:rsidR="008157AA" w:rsidRPr="008157AA" w:rsidRDefault="008157AA" w:rsidP="008157AA">
            <w:pPr>
              <w:spacing w:after="0" w:line="240" w:lineRule="auto"/>
              <w:jc w:val="right"/>
              <w:rPr>
                <w:rFonts w:eastAsia="Times New Roman"/>
                <w:color w:val="000000"/>
                <w:sz w:val="20"/>
                <w:szCs w:val="20"/>
                <w:lang w:val="en-CA" w:eastAsia="en-CA"/>
              </w:rPr>
            </w:pPr>
            <w:r w:rsidRPr="008157AA">
              <w:rPr>
                <w:rFonts w:eastAsia="Times New Roman"/>
                <w:color w:val="000000"/>
                <w:sz w:val="20"/>
                <w:szCs w:val="20"/>
                <w:lang w:val="en-CA" w:eastAsia="en-CA"/>
              </w:rPr>
              <w:t>43510</w:t>
            </w:r>
          </w:p>
        </w:tc>
      </w:tr>
    </w:tbl>
    <w:p w14:paraId="20EB2B25" w14:textId="77777777" w:rsidR="003E576E" w:rsidRPr="00E16335" w:rsidRDefault="003E576E" w:rsidP="000F70C3"/>
    <w:sectPr w:rsidR="003E576E" w:rsidRPr="00E16335" w:rsidSect="00F86DB3">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4C0F7" w14:textId="77777777" w:rsidR="0044180C" w:rsidRDefault="0044180C" w:rsidP="00533253">
      <w:pPr>
        <w:spacing w:after="0" w:line="240" w:lineRule="auto"/>
      </w:pPr>
      <w:r>
        <w:separator/>
      </w:r>
    </w:p>
  </w:endnote>
  <w:endnote w:type="continuationSeparator" w:id="0">
    <w:p w14:paraId="350B44B6" w14:textId="77777777" w:rsidR="0044180C" w:rsidRDefault="0044180C" w:rsidP="0053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1BEBD" w14:textId="77777777" w:rsidR="0044180C" w:rsidRDefault="0044180C" w:rsidP="00533253">
      <w:pPr>
        <w:spacing w:after="0" w:line="240" w:lineRule="auto"/>
      </w:pPr>
      <w:r>
        <w:separator/>
      </w:r>
    </w:p>
  </w:footnote>
  <w:footnote w:type="continuationSeparator" w:id="0">
    <w:p w14:paraId="60866321" w14:textId="77777777" w:rsidR="0044180C" w:rsidRDefault="0044180C" w:rsidP="00533253">
      <w:pPr>
        <w:spacing w:after="0" w:line="240" w:lineRule="auto"/>
      </w:pPr>
      <w:r>
        <w:continuationSeparator/>
      </w:r>
    </w:p>
  </w:footnote>
  <w:footnote w:id="1">
    <w:p w14:paraId="48912EC8" w14:textId="07076F5D" w:rsidR="00226288" w:rsidRDefault="00226288" w:rsidP="249DB127">
      <w:pPr>
        <w:pStyle w:val="FootnoteText"/>
        <w:rPr>
          <w:rFonts w:ascii="Times New Roman" w:hAnsi="Times New Roman" w:cs="Times New Roman"/>
        </w:rPr>
      </w:pPr>
      <w:r w:rsidRPr="249DB127">
        <w:rPr>
          <w:rStyle w:val="FootnoteReference"/>
          <w:rFonts w:ascii="Times New Roman" w:hAnsi="Times New Roman" w:cs="Times New Roman"/>
        </w:rPr>
        <w:footnoteRef/>
      </w:r>
      <w:r w:rsidRPr="249DB127">
        <w:rPr>
          <w:rFonts w:ascii="Times New Roman" w:hAnsi="Times New Roman" w:cs="Times New Roman"/>
        </w:rPr>
        <w:t xml:space="preserve"> Finn, 1</w:t>
      </w:r>
      <w:r w:rsidR="00234790">
        <w:rPr>
          <w:rFonts w:ascii="Times New Roman" w:hAnsi="Times New Roman" w:cs="Times New Roman"/>
        </w:rPr>
        <w:t>1</w:t>
      </w:r>
      <w:r w:rsidRPr="249DB127">
        <w:rPr>
          <w:rFonts w:ascii="Times New Roman" w:hAnsi="Times New Roman" w:cs="Times New Roman"/>
        </w:rPr>
        <w:t>1.</w:t>
      </w:r>
    </w:p>
  </w:footnote>
  <w:footnote w:id="2">
    <w:p w14:paraId="04BC7F95" w14:textId="77777777" w:rsidR="00226288" w:rsidRPr="007A057B" w:rsidRDefault="00226288" w:rsidP="249DB127">
      <w:pPr>
        <w:pStyle w:val="FootnoteText"/>
        <w:rPr>
          <w:rFonts w:ascii="Times New Roman" w:hAnsi="Times New Roman" w:cs="Times New Roman"/>
        </w:rPr>
      </w:pPr>
      <w:r w:rsidRPr="007A057B">
        <w:rPr>
          <w:rStyle w:val="FootnoteReference"/>
          <w:rFonts w:ascii="Times New Roman" w:hAnsi="Times New Roman" w:cs="Times New Roman"/>
        </w:rPr>
        <w:footnoteRef/>
      </w:r>
      <w:r w:rsidRPr="007A057B">
        <w:rPr>
          <w:rFonts w:ascii="Times New Roman" w:hAnsi="Times New Roman" w:cs="Times New Roman"/>
        </w:rPr>
        <w:t xml:space="preserve"> Finn, 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985C4" w14:textId="21637191" w:rsidR="00497B75" w:rsidRDefault="00497B75">
    <w:pPr>
      <w:pStyle w:val="Header"/>
    </w:pPr>
    <w:r>
      <w:rPr>
        <w:noProof/>
        <w:lang w:val="en-CA" w:eastAsia="en-CA"/>
      </w:rPr>
      <w:drawing>
        <wp:anchor distT="0" distB="0" distL="114300" distR="114300" simplePos="0" relativeHeight="251658240" behindDoc="0" locked="0" layoutInCell="1" allowOverlap="1" wp14:anchorId="7F089C1E" wp14:editId="7B26B521">
          <wp:simplePos x="0" y="0"/>
          <wp:positionH relativeFrom="margin">
            <wp:posOffset>0</wp:posOffset>
          </wp:positionH>
          <wp:positionV relativeFrom="paragraph">
            <wp:posOffset>-457200</wp:posOffset>
          </wp:positionV>
          <wp:extent cx="5943600" cy="873760"/>
          <wp:effectExtent l="0" t="0" r="0" b="2540"/>
          <wp:wrapThrough wrapText="bothSides">
            <wp:wrapPolygon edited="0">
              <wp:start x="0" y="0"/>
              <wp:lineTo x="0" y="21192"/>
              <wp:lineTo x="21531" y="21192"/>
              <wp:lineTo x="21531" y="0"/>
              <wp:lineTo x="0" y="0"/>
            </wp:wrapPolygon>
          </wp:wrapThrough>
          <wp:docPr id="5" name="Picture 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737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233E7" w14:textId="77777777" w:rsidR="002561A7" w:rsidRDefault="002561A7">
    <w:pPr>
      <w:pStyle w:val="Header"/>
    </w:pPr>
    <w:r>
      <w:rPr>
        <w:noProof/>
        <w:lang w:val="en-CA" w:eastAsia="en-CA"/>
      </w:rPr>
      <w:drawing>
        <wp:anchor distT="0" distB="0" distL="114300" distR="114300" simplePos="0" relativeHeight="251660288" behindDoc="0" locked="0" layoutInCell="1" allowOverlap="1" wp14:anchorId="65ADE641" wp14:editId="44593271">
          <wp:simplePos x="0" y="0"/>
          <wp:positionH relativeFrom="margin">
            <wp:posOffset>1178169</wp:posOffset>
          </wp:positionH>
          <wp:positionV relativeFrom="margin">
            <wp:posOffset>-873760</wp:posOffset>
          </wp:positionV>
          <wp:extent cx="5943600" cy="873760"/>
          <wp:effectExtent l="0" t="0" r="0" b="2540"/>
          <wp:wrapSquare wrapText="bothSides"/>
          <wp:docPr id="6" name="Picture 6"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73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0778"/>
    <w:multiLevelType w:val="hybridMultilevel"/>
    <w:tmpl w:val="6250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40C7B"/>
    <w:multiLevelType w:val="hybridMultilevel"/>
    <w:tmpl w:val="0650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36E5B"/>
    <w:multiLevelType w:val="hybridMultilevel"/>
    <w:tmpl w:val="4490A9C6"/>
    <w:lvl w:ilvl="0" w:tplc="FFFFFFFF">
      <w:start w:val="4"/>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E0DE8"/>
    <w:multiLevelType w:val="hybridMultilevel"/>
    <w:tmpl w:val="FFFFFFFF"/>
    <w:lvl w:ilvl="0" w:tplc="77186112">
      <w:start w:val="4"/>
      <w:numFmt w:val="upperRoman"/>
      <w:lvlText w:val="%1."/>
      <w:lvlJc w:val="right"/>
      <w:pPr>
        <w:ind w:left="720" w:hanging="360"/>
      </w:pPr>
    </w:lvl>
    <w:lvl w:ilvl="1" w:tplc="6CC6855C">
      <w:start w:val="1"/>
      <w:numFmt w:val="lowerLetter"/>
      <w:lvlText w:val="%2."/>
      <w:lvlJc w:val="left"/>
      <w:pPr>
        <w:ind w:left="1440" w:hanging="360"/>
      </w:pPr>
    </w:lvl>
    <w:lvl w:ilvl="2" w:tplc="9B66144E">
      <w:start w:val="1"/>
      <w:numFmt w:val="lowerRoman"/>
      <w:lvlText w:val="%3."/>
      <w:lvlJc w:val="right"/>
      <w:pPr>
        <w:ind w:left="2160" w:hanging="180"/>
      </w:pPr>
    </w:lvl>
    <w:lvl w:ilvl="3" w:tplc="61BA71E6">
      <w:start w:val="1"/>
      <w:numFmt w:val="decimal"/>
      <w:lvlText w:val="%4."/>
      <w:lvlJc w:val="left"/>
      <w:pPr>
        <w:ind w:left="2880" w:hanging="360"/>
      </w:pPr>
    </w:lvl>
    <w:lvl w:ilvl="4" w:tplc="2752ED40">
      <w:start w:val="1"/>
      <w:numFmt w:val="lowerLetter"/>
      <w:lvlText w:val="%5."/>
      <w:lvlJc w:val="left"/>
      <w:pPr>
        <w:ind w:left="3600" w:hanging="360"/>
      </w:pPr>
    </w:lvl>
    <w:lvl w:ilvl="5" w:tplc="4FEC8AA2">
      <w:start w:val="1"/>
      <w:numFmt w:val="lowerRoman"/>
      <w:lvlText w:val="%6."/>
      <w:lvlJc w:val="right"/>
      <w:pPr>
        <w:ind w:left="4320" w:hanging="180"/>
      </w:pPr>
    </w:lvl>
    <w:lvl w:ilvl="6" w:tplc="CC0ED76A">
      <w:start w:val="1"/>
      <w:numFmt w:val="decimal"/>
      <w:lvlText w:val="%7."/>
      <w:lvlJc w:val="left"/>
      <w:pPr>
        <w:ind w:left="5040" w:hanging="360"/>
      </w:pPr>
    </w:lvl>
    <w:lvl w:ilvl="7" w:tplc="B0D204A8">
      <w:start w:val="1"/>
      <w:numFmt w:val="lowerLetter"/>
      <w:lvlText w:val="%8."/>
      <w:lvlJc w:val="left"/>
      <w:pPr>
        <w:ind w:left="5760" w:hanging="360"/>
      </w:pPr>
    </w:lvl>
    <w:lvl w:ilvl="8" w:tplc="E36EA08A">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E2"/>
    <w:rsid w:val="00002A54"/>
    <w:rsid w:val="00002B96"/>
    <w:rsid w:val="00011EC1"/>
    <w:rsid w:val="000216E9"/>
    <w:rsid w:val="000238B0"/>
    <w:rsid w:val="000259AF"/>
    <w:rsid w:val="00025F29"/>
    <w:rsid w:val="000356BA"/>
    <w:rsid w:val="000361EA"/>
    <w:rsid w:val="000411E3"/>
    <w:rsid w:val="0004189C"/>
    <w:rsid w:val="00041C1D"/>
    <w:rsid w:val="00043416"/>
    <w:rsid w:val="00043BCF"/>
    <w:rsid w:val="00050419"/>
    <w:rsid w:val="00061B5D"/>
    <w:rsid w:val="0006532A"/>
    <w:rsid w:val="0007121F"/>
    <w:rsid w:val="00081AC4"/>
    <w:rsid w:val="0009529B"/>
    <w:rsid w:val="000A372D"/>
    <w:rsid w:val="000A47E0"/>
    <w:rsid w:val="000A6251"/>
    <w:rsid w:val="000B3B59"/>
    <w:rsid w:val="000B4E87"/>
    <w:rsid w:val="000C30F7"/>
    <w:rsid w:val="000D0C37"/>
    <w:rsid w:val="000D539E"/>
    <w:rsid w:val="000E0371"/>
    <w:rsid w:val="000F70C3"/>
    <w:rsid w:val="0010084F"/>
    <w:rsid w:val="001120C5"/>
    <w:rsid w:val="00112985"/>
    <w:rsid w:val="0012393A"/>
    <w:rsid w:val="001270D0"/>
    <w:rsid w:val="001333B6"/>
    <w:rsid w:val="0013553C"/>
    <w:rsid w:val="0014325C"/>
    <w:rsid w:val="00144572"/>
    <w:rsid w:val="001446EA"/>
    <w:rsid w:val="00145AFD"/>
    <w:rsid w:val="00151EBE"/>
    <w:rsid w:val="00156AEF"/>
    <w:rsid w:val="001577AD"/>
    <w:rsid w:val="001618D5"/>
    <w:rsid w:val="00163993"/>
    <w:rsid w:val="00166EE4"/>
    <w:rsid w:val="001713C5"/>
    <w:rsid w:val="00182F1D"/>
    <w:rsid w:val="00191867"/>
    <w:rsid w:val="00195492"/>
    <w:rsid w:val="001961F9"/>
    <w:rsid w:val="001A0135"/>
    <w:rsid w:val="001A4616"/>
    <w:rsid w:val="001C359A"/>
    <w:rsid w:val="001F35C3"/>
    <w:rsid w:val="001F57F4"/>
    <w:rsid w:val="001F6F3C"/>
    <w:rsid w:val="001F7C93"/>
    <w:rsid w:val="00200EE0"/>
    <w:rsid w:val="002025E6"/>
    <w:rsid w:val="00203CFE"/>
    <w:rsid w:val="00204841"/>
    <w:rsid w:val="0020519D"/>
    <w:rsid w:val="00207A65"/>
    <w:rsid w:val="002120AC"/>
    <w:rsid w:val="0021316D"/>
    <w:rsid w:val="00214405"/>
    <w:rsid w:val="00215178"/>
    <w:rsid w:val="00224499"/>
    <w:rsid w:val="00226288"/>
    <w:rsid w:val="002271ED"/>
    <w:rsid w:val="002325B6"/>
    <w:rsid w:val="0023283B"/>
    <w:rsid w:val="00234790"/>
    <w:rsid w:val="00242CFD"/>
    <w:rsid w:val="0024434B"/>
    <w:rsid w:val="00246CF0"/>
    <w:rsid w:val="00254E91"/>
    <w:rsid w:val="002561A7"/>
    <w:rsid w:val="0026060C"/>
    <w:rsid w:val="0027002D"/>
    <w:rsid w:val="00271BFF"/>
    <w:rsid w:val="00273118"/>
    <w:rsid w:val="0027736A"/>
    <w:rsid w:val="00277E9F"/>
    <w:rsid w:val="002821E2"/>
    <w:rsid w:val="0028792A"/>
    <w:rsid w:val="00291052"/>
    <w:rsid w:val="00296040"/>
    <w:rsid w:val="002D4526"/>
    <w:rsid w:val="002D5314"/>
    <w:rsid w:val="002E0EF6"/>
    <w:rsid w:val="002E2F72"/>
    <w:rsid w:val="002E3096"/>
    <w:rsid w:val="002F2119"/>
    <w:rsid w:val="002F42D3"/>
    <w:rsid w:val="002F62E8"/>
    <w:rsid w:val="002F6FA4"/>
    <w:rsid w:val="003152BF"/>
    <w:rsid w:val="0031540E"/>
    <w:rsid w:val="003219CB"/>
    <w:rsid w:val="0032204E"/>
    <w:rsid w:val="00324641"/>
    <w:rsid w:val="00326D5B"/>
    <w:rsid w:val="00331342"/>
    <w:rsid w:val="00333276"/>
    <w:rsid w:val="00340E57"/>
    <w:rsid w:val="003424B6"/>
    <w:rsid w:val="00342506"/>
    <w:rsid w:val="00343F5F"/>
    <w:rsid w:val="00344A46"/>
    <w:rsid w:val="003459DA"/>
    <w:rsid w:val="003519FC"/>
    <w:rsid w:val="00351F4C"/>
    <w:rsid w:val="00354F92"/>
    <w:rsid w:val="00360F54"/>
    <w:rsid w:val="003644C1"/>
    <w:rsid w:val="00365826"/>
    <w:rsid w:val="00365E92"/>
    <w:rsid w:val="00366157"/>
    <w:rsid w:val="0036789A"/>
    <w:rsid w:val="0038034B"/>
    <w:rsid w:val="003811B3"/>
    <w:rsid w:val="00386C93"/>
    <w:rsid w:val="003870CF"/>
    <w:rsid w:val="003971FE"/>
    <w:rsid w:val="003A431A"/>
    <w:rsid w:val="003A4C02"/>
    <w:rsid w:val="003B18DC"/>
    <w:rsid w:val="003B3F3D"/>
    <w:rsid w:val="003B448F"/>
    <w:rsid w:val="003C631F"/>
    <w:rsid w:val="003D3F4B"/>
    <w:rsid w:val="003E41B8"/>
    <w:rsid w:val="003E576E"/>
    <w:rsid w:val="003F43F2"/>
    <w:rsid w:val="00400690"/>
    <w:rsid w:val="00403EBA"/>
    <w:rsid w:val="00410A7C"/>
    <w:rsid w:val="00413C87"/>
    <w:rsid w:val="00414337"/>
    <w:rsid w:val="00416A76"/>
    <w:rsid w:val="00417737"/>
    <w:rsid w:val="00417F02"/>
    <w:rsid w:val="00420653"/>
    <w:rsid w:val="0042282E"/>
    <w:rsid w:val="00426356"/>
    <w:rsid w:val="00427ED7"/>
    <w:rsid w:val="00432A0F"/>
    <w:rsid w:val="00433159"/>
    <w:rsid w:val="004345AC"/>
    <w:rsid w:val="004358AB"/>
    <w:rsid w:val="00436353"/>
    <w:rsid w:val="0044180C"/>
    <w:rsid w:val="00441FE2"/>
    <w:rsid w:val="00442AF5"/>
    <w:rsid w:val="004435A9"/>
    <w:rsid w:val="004443C2"/>
    <w:rsid w:val="00447790"/>
    <w:rsid w:val="0045117A"/>
    <w:rsid w:val="00456C6D"/>
    <w:rsid w:val="004570D0"/>
    <w:rsid w:val="004576A5"/>
    <w:rsid w:val="004621C1"/>
    <w:rsid w:val="00463845"/>
    <w:rsid w:val="0047091C"/>
    <w:rsid w:val="004711F9"/>
    <w:rsid w:val="0047285E"/>
    <w:rsid w:val="004803CE"/>
    <w:rsid w:val="00482DBE"/>
    <w:rsid w:val="004832BE"/>
    <w:rsid w:val="00492DEB"/>
    <w:rsid w:val="00495F46"/>
    <w:rsid w:val="00497B75"/>
    <w:rsid w:val="004A480F"/>
    <w:rsid w:val="004B0C32"/>
    <w:rsid w:val="004B618F"/>
    <w:rsid w:val="004C36B5"/>
    <w:rsid w:val="004C7794"/>
    <w:rsid w:val="004D2B1B"/>
    <w:rsid w:val="004D3A27"/>
    <w:rsid w:val="004D3EFB"/>
    <w:rsid w:val="004D47D4"/>
    <w:rsid w:val="004D50FF"/>
    <w:rsid w:val="004D57D8"/>
    <w:rsid w:val="004E778B"/>
    <w:rsid w:val="004F18A7"/>
    <w:rsid w:val="004F3B3D"/>
    <w:rsid w:val="00502C3C"/>
    <w:rsid w:val="00505074"/>
    <w:rsid w:val="00510189"/>
    <w:rsid w:val="005238F9"/>
    <w:rsid w:val="00523A53"/>
    <w:rsid w:val="005262CC"/>
    <w:rsid w:val="00526874"/>
    <w:rsid w:val="00533253"/>
    <w:rsid w:val="005335FD"/>
    <w:rsid w:val="005336CE"/>
    <w:rsid w:val="00536AD2"/>
    <w:rsid w:val="005404CF"/>
    <w:rsid w:val="00540C77"/>
    <w:rsid w:val="00542F95"/>
    <w:rsid w:val="00544386"/>
    <w:rsid w:val="00552C7D"/>
    <w:rsid w:val="00553C6E"/>
    <w:rsid w:val="005724E0"/>
    <w:rsid w:val="00576659"/>
    <w:rsid w:val="0058123A"/>
    <w:rsid w:val="0058723C"/>
    <w:rsid w:val="00587D02"/>
    <w:rsid w:val="005922F7"/>
    <w:rsid w:val="00593BF0"/>
    <w:rsid w:val="005A1024"/>
    <w:rsid w:val="005A2167"/>
    <w:rsid w:val="005B0633"/>
    <w:rsid w:val="005B0918"/>
    <w:rsid w:val="005B1A0B"/>
    <w:rsid w:val="005B2FE9"/>
    <w:rsid w:val="005C54C0"/>
    <w:rsid w:val="005D5FAA"/>
    <w:rsid w:val="005E55E4"/>
    <w:rsid w:val="005F24A5"/>
    <w:rsid w:val="005F4057"/>
    <w:rsid w:val="005F7078"/>
    <w:rsid w:val="0060390E"/>
    <w:rsid w:val="00607394"/>
    <w:rsid w:val="00610721"/>
    <w:rsid w:val="006113F1"/>
    <w:rsid w:val="00612EFD"/>
    <w:rsid w:val="00617B49"/>
    <w:rsid w:val="006222C9"/>
    <w:rsid w:val="00625107"/>
    <w:rsid w:val="006255AA"/>
    <w:rsid w:val="00626347"/>
    <w:rsid w:val="00631D13"/>
    <w:rsid w:val="00637D62"/>
    <w:rsid w:val="00641FCF"/>
    <w:rsid w:val="006551B6"/>
    <w:rsid w:val="00661339"/>
    <w:rsid w:val="006649CB"/>
    <w:rsid w:val="00670E6D"/>
    <w:rsid w:val="00671D38"/>
    <w:rsid w:val="00673A59"/>
    <w:rsid w:val="00674839"/>
    <w:rsid w:val="00677F07"/>
    <w:rsid w:val="00680EEB"/>
    <w:rsid w:val="00681B61"/>
    <w:rsid w:val="00681C2B"/>
    <w:rsid w:val="00683388"/>
    <w:rsid w:val="00686E96"/>
    <w:rsid w:val="00693E2B"/>
    <w:rsid w:val="00697AEA"/>
    <w:rsid w:val="006A1366"/>
    <w:rsid w:val="006C4672"/>
    <w:rsid w:val="006C4AF4"/>
    <w:rsid w:val="006D4C16"/>
    <w:rsid w:val="006D7213"/>
    <w:rsid w:val="006E13F5"/>
    <w:rsid w:val="006E18B2"/>
    <w:rsid w:val="006F1B6E"/>
    <w:rsid w:val="006F202E"/>
    <w:rsid w:val="006F7A52"/>
    <w:rsid w:val="00705490"/>
    <w:rsid w:val="00714BE0"/>
    <w:rsid w:val="00715B3D"/>
    <w:rsid w:val="007218E7"/>
    <w:rsid w:val="0072646B"/>
    <w:rsid w:val="007266D3"/>
    <w:rsid w:val="00733139"/>
    <w:rsid w:val="00737C46"/>
    <w:rsid w:val="00750F58"/>
    <w:rsid w:val="007531AE"/>
    <w:rsid w:val="007531E7"/>
    <w:rsid w:val="007540B3"/>
    <w:rsid w:val="0075617E"/>
    <w:rsid w:val="0076064F"/>
    <w:rsid w:val="00761CCB"/>
    <w:rsid w:val="00761FDC"/>
    <w:rsid w:val="007639B9"/>
    <w:rsid w:val="00765957"/>
    <w:rsid w:val="00767704"/>
    <w:rsid w:val="00770EF9"/>
    <w:rsid w:val="00774628"/>
    <w:rsid w:val="007767E0"/>
    <w:rsid w:val="00783D3F"/>
    <w:rsid w:val="00784B4D"/>
    <w:rsid w:val="007864C8"/>
    <w:rsid w:val="007870B9"/>
    <w:rsid w:val="00787FFC"/>
    <w:rsid w:val="0079085C"/>
    <w:rsid w:val="00790F0F"/>
    <w:rsid w:val="007A057B"/>
    <w:rsid w:val="007A6BD4"/>
    <w:rsid w:val="007B52AD"/>
    <w:rsid w:val="007C3850"/>
    <w:rsid w:val="007C3C5E"/>
    <w:rsid w:val="007C6CC6"/>
    <w:rsid w:val="007D0941"/>
    <w:rsid w:val="007D0F0D"/>
    <w:rsid w:val="007D145D"/>
    <w:rsid w:val="007E140A"/>
    <w:rsid w:val="007E58A7"/>
    <w:rsid w:val="007E744A"/>
    <w:rsid w:val="007F0D36"/>
    <w:rsid w:val="007F5DC8"/>
    <w:rsid w:val="0080158C"/>
    <w:rsid w:val="00803E89"/>
    <w:rsid w:val="008045B1"/>
    <w:rsid w:val="00812B97"/>
    <w:rsid w:val="00815203"/>
    <w:rsid w:val="008157AA"/>
    <w:rsid w:val="00821215"/>
    <w:rsid w:val="00826FF4"/>
    <w:rsid w:val="00834815"/>
    <w:rsid w:val="00835E77"/>
    <w:rsid w:val="00840403"/>
    <w:rsid w:val="00842249"/>
    <w:rsid w:val="00852005"/>
    <w:rsid w:val="00853E3A"/>
    <w:rsid w:val="00855D67"/>
    <w:rsid w:val="008604A0"/>
    <w:rsid w:val="0086227A"/>
    <w:rsid w:val="00862A5B"/>
    <w:rsid w:val="00870648"/>
    <w:rsid w:val="00872051"/>
    <w:rsid w:val="00880DC2"/>
    <w:rsid w:val="0088249F"/>
    <w:rsid w:val="00886CC5"/>
    <w:rsid w:val="0088756F"/>
    <w:rsid w:val="00890F6D"/>
    <w:rsid w:val="0089636A"/>
    <w:rsid w:val="008963E5"/>
    <w:rsid w:val="008A3666"/>
    <w:rsid w:val="008A3772"/>
    <w:rsid w:val="008B3CB3"/>
    <w:rsid w:val="008C05F6"/>
    <w:rsid w:val="008C082C"/>
    <w:rsid w:val="008C5776"/>
    <w:rsid w:val="008C5E9C"/>
    <w:rsid w:val="008D4F96"/>
    <w:rsid w:val="008D5897"/>
    <w:rsid w:val="008D7001"/>
    <w:rsid w:val="008E30F8"/>
    <w:rsid w:val="008E37E8"/>
    <w:rsid w:val="008E73D5"/>
    <w:rsid w:val="008F3D10"/>
    <w:rsid w:val="00910DAD"/>
    <w:rsid w:val="009113A3"/>
    <w:rsid w:val="00911C4B"/>
    <w:rsid w:val="00915C3C"/>
    <w:rsid w:val="00916094"/>
    <w:rsid w:val="0092348C"/>
    <w:rsid w:val="00930141"/>
    <w:rsid w:val="00937062"/>
    <w:rsid w:val="00941160"/>
    <w:rsid w:val="009459DC"/>
    <w:rsid w:val="00964426"/>
    <w:rsid w:val="009716CD"/>
    <w:rsid w:val="00973562"/>
    <w:rsid w:val="00975BA7"/>
    <w:rsid w:val="00986C0D"/>
    <w:rsid w:val="00987720"/>
    <w:rsid w:val="00993AFC"/>
    <w:rsid w:val="009A458A"/>
    <w:rsid w:val="009A54EE"/>
    <w:rsid w:val="009A6210"/>
    <w:rsid w:val="009B1567"/>
    <w:rsid w:val="009C3F94"/>
    <w:rsid w:val="009C400F"/>
    <w:rsid w:val="009C5A8A"/>
    <w:rsid w:val="009C610A"/>
    <w:rsid w:val="009D01C7"/>
    <w:rsid w:val="009D3B76"/>
    <w:rsid w:val="009E008A"/>
    <w:rsid w:val="009E0814"/>
    <w:rsid w:val="009E27E2"/>
    <w:rsid w:val="00A02383"/>
    <w:rsid w:val="00A03051"/>
    <w:rsid w:val="00A04221"/>
    <w:rsid w:val="00A20D5A"/>
    <w:rsid w:val="00A25514"/>
    <w:rsid w:val="00A26BCF"/>
    <w:rsid w:val="00A36538"/>
    <w:rsid w:val="00A42050"/>
    <w:rsid w:val="00A47131"/>
    <w:rsid w:val="00A47308"/>
    <w:rsid w:val="00A51279"/>
    <w:rsid w:val="00A60240"/>
    <w:rsid w:val="00A622F8"/>
    <w:rsid w:val="00A65366"/>
    <w:rsid w:val="00A656D7"/>
    <w:rsid w:val="00A66519"/>
    <w:rsid w:val="00A76976"/>
    <w:rsid w:val="00A8263D"/>
    <w:rsid w:val="00A92519"/>
    <w:rsid w:val="00AA1DDD"/>
    <w:rsid w:val="00AA5A47"/>
    <w:rsid w:val="00AB64B7"/>
    <w:rsid w:val="00AC341A"/>
    <w:rsid w:val="00AC5DB2"/>
    <w:rsid w:val="00AD6300"/>
    <w:rsid w:val="00AD6EC7"/>
    <w:rsid w:val="00AE3CB9"/>
    <w:rsid w:val="00AF6180"/>
    <w:rsid w:val="00B00DE4"/>
    <w:rsid w:val="00B04E40"/>
    <w:rsid w:val="00B04E8A"/>
    <w:rsid w:val="00B10FEA"/>
    <w:rsid w:val="00B11890"/>
    <w:rsid w:val="00B2583B"/>
    <w:rsid w:val="00B3507E"/>
    <w:rsid w:val="00B433E0"/>
    <w:rsid w:val="00B51104"/>
    <w:rsid w:val="00B53197"/>
    <w:rsid w:val="00B53F48"/>
    <w:rsid w:val="00B57B21"/>
    <w:rsid w:val="00B57FE0"/>
    <w:rsid w:val="00B61A5B"/>
    <w:rsid w:val="00B6278E"/>
    <w:rsid w:val="00B70021"/>
    <w:rsid w:val="00B72F6F"/>
    <w:rsid w:val="00B87C75"/>
    <w:rsid w:val="00B908A9"/>
    <w:rsid w:val="00B94F9A"/>
    <w:rsid w:val="00B95616"/>
    <w:rsid w:val="00BA10DF"/>
    <w:rsid w:val="00BA1272"/>
    <w:rsid w:val="00BA185C"/>
    <w:rsid w:val="00BA2A48"/>
    <w:rsid w:val="00BB3750"/>
    <w:rsid w:val="00BB70AE"/>
    <w:rsid w:val="00BC277B"/>
    <w:rsid w:val="00BE1438"/>
    <w:rsid w:val="00BE3C41"/>
    <w:rsid w:val="00BE42B4"/>
    <w:rsid w:val="00BE43FB"/>
    <w:rsid w:val="00BE604A"/>
    <w:rsid w:val="00BF7E3F"/>
    <w:rsid w:val="00C06DB3"/>
    <w:rsid w:val="00C07457"/>
    <w:rsid w:val="00C132BD"/>
    <w:rsid w:val="00C23179"/>
    <w:rsid w:val="00C23508"/>
    <w:rsid w:val="00C2370A"/>
    <w:rsid w:val="00C36E11"/>
    <w:rsid w:val="00C401EC"/>
    <w:rsid w:val="00C45148"/>
    <w:rsid w:val="00C51E4B"/>
    <w:rsid w:val="00C52D0C"/>
    <w:rsid w:val="00C55B72"/>
    <w:rsid w:val="00C64DB2"/>
    <w:rsid w:val="00C65D8B"/>
    <w:rsid w:val="00C942CD"/>
    <w:rsid w:val="00CA3C0E"/>
    <w:rsid w:val="00CA5586"/>
    <w:rsid w:val="00CA7412"/>
    <w:rsid w:val="00CB62EA"/>
    <w:rsid w:val="00CC3095"/>
    <w:rsid w:val="00CC4CA8"/>
    <w:rsid w:val="00CD12F5"/>
    <w:rsid w:val="00CE0675"/>
    <w:rsid w:val="00CE7337"/>
    <w:rsid w:val="00CE7A05"/>
    <w:rsid w:val="00CF02AF"/>
    <w:rsid w:val="00CF1F1C"/>
    <w:rsid w:val="00D02067"/>
    <w:rsid w:val="00D05172"/>
    <w:rsid w:val="00D17292"/>
    <w:rsid w:val="00D21261"/>
    <w:rsid w:val="00D2549C"/>
    <w:rsid w:val="00D27FE3"/>
    <w:rsid w:val="00D30B7F"/>
    <w:rsid w:val="00D31C6B"/>
    <w:rsid w:val="00D3691A"/>
    <w:rsid w:val="00D41B44"/>
    <w:rsid w:val="00D459CC"/>
    <w:rsid w:val="00D503EA"/>
    <w:rsid w:val="00D52E91"/>
    <w:rsid w:val="00D5651B"/>
    <w:rsid w:val="00D66F81"/>
    <w:rsid w:val="00D746A4"/>
    <w:rsid w:val="00D804CC"/>
    <w:rsid w:val="00D81700"/>
    <w:rsid w:val="00D87F73"/>
    <w:rsid w:val="00D9039A"/>
    <w:rsid w:val="00D94D4B"/>
    <w:rsid w:val="00DA6D14"/>
    <w:rsid w:val="00DB11A2"/>
    <w:rsid w:val="00DB4886"/>
    <w:rsid w:val="00DC2914"/>
    <w:rsid w:val="00DC3C74"/>
    <w:rsid w:val="00DC5957"/>
    <w:rsid w:val="00DD0ADF"/>
    <w:rsid w:val="00DD1922"/>
    <w:rsid w:val="00DD457E"/>
    <w:rsid w:val="00DD6077"/>
    <w:rsid w:val="00DD6701"/>
    <w:rsid w:val="00DE4CF7"/>
    <w:rsid w:val="00DE71DC"/>
    <w:rsid w:val="00DF39F7"/>
    <w:rsid w:val="00E0218D"/>
    <w:rsid w:val="00E1004A"/>
    <w:rsid w:val="00E16335"/>
    <w:rsid w:val="00E21078"/>
    <w:rsid w:val="00E308F4"/>
    <w:rsid w:val="00E30DC8"/>
    <w:rsid w:val="00E31483"/>
    <w:rsid w:val="00E33A22"/>
    <w:rsid w:val="00E41114"/>
    <w:rsid w:val="00E41968"/>
    <w:rsid w:val="00E44DC0"/>
    <w:rsid w:val="00E55335"/>
    <w:rsid w:val="00E55D8B"/>
    <w:rsid w:val="00E5681A"/>
    <w:rsid w:val="00E57641"/>
    <w:rsid w:val="00E6046B"/>
    <w:rsid w:val="00E621D5"/>
    <w:rsid w:val="00E64543"/>
    <w:rsid w:val="00E86D97"/>
    <w:rsid w:val="00EA3AB0"/>
    <w:rsid w:val="00EB0362"/>
    <w:rsid w:val="00EC02C5"/>
    <w:rsid w:val="00EC6F9B"/>
    <w:rsid w:val="00EC71A3"/>
    <w:rsid w:val="00EE1061"/>
    <w:rsid w:val="00EE797B"/>
    <w:rsid w:val="00F0075E"/>
    <w:rsid w:val="00F05599"/>
    <w:rsid w:val="00F05844"/>
    <w:rsid w:val="00F06777"/>
    <w:rsid w:val="00F06AB9"/>
    <w:rsid w:val="00F07528"/>
    <w:rsid w:val="00F0752B"/>
    <w:rsid w:val="00F14B01"/>
    <w:rsid w:val="00F17BA3"/>
    <w:rsid w:val="00F32BA5"/>
    <w:rsid w:val="00F32FFB"/>
    <w:rsid w:val="00F344C7"/>
    <w:rsid w:val="00F4188B"/>
    <w:rsid w:val="00F41ED4"/>
    <w:rsid w:val="00F43A14"/>
    <w:rsid w:val="00F44896"/>
    <w:rsid w:val="00F5198F"/>
    <w:rsid w:val="00F567EC"/>
    <w:rsid w:val="00F601D1"/>
    <w:rsid w:val="00F622A7"/>
    <w:rsid w:val="00F63306"/>
    <w:rsid w:val="00F64E85"/>
    <w:rsid w:val="00F6557B"/>
    <w:rsid w:val="00F7126C"/>
    <w:rsid w:val="00F738DC"/>
    <w:rsid w:val="00F7536C"/>
    <w:rsid w:val="00F76586"/>
    <w:rsid w:val="00F77D1F"/>
    <w:rsid w:val="00F86DB3"/>
    <w:rsid w:val="00FA6E99"/>
    <w:rsid w:val="00FB47F2"/>
    <w:rsid w:val="00FC0499"/>
    <w:rsid w:val="00FC404B"/>
    <w:rsid w:val="00FC47CF"/>
    <w:rsid w:val="00FC5436"/>
    <w:rsid w:val="00FC5FDF"/>
    <w:rsid w:val="00FC69D0"/>
    <w:rsid w:val="00FD54A3"/>
    <w:rsid w:val="00FD597E"/>
    <w:rsid w:val="00FE344B"/>
    <w:rsid w:val="00FE6560"/>
    <w:rsid w:val="00FE7ED2"/>
    <w:rsid w:val="00FF076A"/>
    <w:rsid w:val="08B4B71E"/>
    <w:rsid w:val="249DB127"/>
    <w:rsid w:val="438E8491"/>
    <w:rsid w:val="47626E9A"/>
    <w:rsid w:val="524E733E"/>
    <w:rsid w:val="73755E9A"/>
    <w:rsid w:val="747E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4978C"/>
  <w15:chartTrackingRefBased/>
  <w15:docId w15:val="{A72AEF27-246B-4413-B481-F0682487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3253"/>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53325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533253"/>
    <w:rPr>
      <w:vertAlign w:val="superscript"/>
    </w:rPr>
  </w:style>
  <w:style w:type="paragraph" w:styleId="ListParagraph">
    <w:name w:val="List Paragraph"/>
    <w:basedOn w:val="Normal"/>
    <w:uiPriority w:val="34"/>
    <w:qFormat/>
    <w:rsid w:val="00A20D5A"/>
    <w:pPr>
      <w:ind w:left="720"/>
      <w:contextualSpacing/>
    </w:pPr>
  </w:style>
  <w:style w:type="paragraph" w:styleId="Header">
    <w:name w:val="header"/>
    <w:basedOn w:val="Normal"/>
    <w:link w:val="HeaderChar"/>
    <w:uiPriority w:val="99"/>
    <w:unhideWhenUsed/>
    <w:rsid w:val="00497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B75"/>
  </w:style>
  <w:style w:type="paragraph" w:styleId="Footer">
    <w:name w:val="footer"/>
    <w:basedOn w:val="Normal"/>
    <w:link w:val="FooterChar"/>
    <w:uiPriority w:val="99"/>
    <w:unhideWhenUsed/>
    <w:rsid w:val="00497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B7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PlainTable1">
    <w:name w:val="Plain Table 1"/>
    <w:basedOn w:val="TableNormal"/>
    <w:uiPriority w:val="41"/>
    <w:rsid w:val="00EC6F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32672">
      <w:bodyDiv w:val="1"/>
      <w:marLeft w:val="0"/>
      <w:marRight w:val="0"/>
      <w:marTop w:val="0"/>
      <w:marBottom w:val="0"/>
      <w:divBdr>
        <w:top w:val="none" w:sz="0" w:space="0" w:color="auto"/>
        <w:left w:val="none" w:sz="0" w:space="0" w:color="auto"/>
        <w:bottom w:val="none" w:sz="0" w:space="0" w:color="auto"/>
        <w:right w:val="none" w:sz="0" w:space="0" w:color="auto"/>
      </w:divBdr>
    </w:div>
    <w:div w:id="304631603">
      <w:bodyDiv w:val="1"/>
      <w:marLeft w:val="0"/>
      <w:marRight w:val="0"/>
      <w:marTop w:val="0"/>
      <w:marBottom w:val="0"/>
      <w:divBdr>
        <w:top w:val="none" w:sz="0" w:space="0" w:color="auto"/>
        <w:left w:val="none" w:sz="0" w:space="0" w:color="auto"/>
        <w:bottom w:val="none" w:sz="0" w:space="0" w:color="auto"/>
        <w:right w:val="none" w:sz="0" w:space="0" w:color="auto"/>
      </w:divBdr>
    </w:div>
    <w:div w:id="306057180">
      <w:bodyDiv w:val="1"/>
      <w:marLeft w:val="0"/>
      <w:marRight w:val="0"/>
      <w:marTop w:val="0"/>
      <w:marBottom w:val="0"/>
      <w:divBdr>
        <w:top w:val="none" w:sz="0" w:space="0" w:color="auto"/>
        <w:left w:val="none" w:sz="0" w:space="0" w:color="auto"/>
        <w:bottom w:val="none" w:sz="0" w:space="0" w:color="auto"/>
        <w:right w:val="none" w:sz="0" w:space="0" w:color="auto"/>
      </w:divBdr>
    </w:div>
    <w:div w:id="401678316">
      <w:bodyDiv w:val="1"/>
      <w:marLeft w:val="0"/>
      <w:marRight w:val="0"/>
      <w:marTop w:val="0"/>
      <w:marBottom w:val="0"/>
      <w:divBdr>
        <w:top w:val="none" w:sz="0" w:space="0" w:color="auto"/>
        <w:left w:val="none" w:sz="0" w:space="0" w:color="auto"/>
        <w:bottom w:val="none" w:sz="0" w:space="0" w:color="auto"/>
        <w:right w:val="none" w:sz="0" w:space="0" w:color="auto"/>
      </w:divBdr>
    </w:div>
    <w:div w:id="405539527">
      <w:bodyDiv w:val="1"/>
      <w:marLeft w:val="0"/>
      <w:marRight w:val="0"/>
      <w:marTop w:val="0"/>
      <w:marBottom w:val="0"/>
      <w:divBdr>
        <w:top w:val="none" w:sz="0" w:space="0" w:color="auto"/>
        <w:left w:val="none" w:sz="0" w:space="0" w:color="auto"/>
        <w:bottom w:val="none" w:sz="0" w:space="0" w:color="auto"/>
        <w:right w:val="none" w:sz="0" w:space="0" w:color="auto"/>
      </w:divBdr>
    </w:div>
    <w:div w:id="502404243">
      <w:bodyDiv w:val="1"/>
      <w:marLeft w:val="0"/>
      <w:marRight w:val="0"/>
      <w:marTop w:val="0"/>
      <w:marBottom w:val="0"/>
      <w:divBdr>
        <w:top w:val="none" w:sz="0" w:space="0" w:color="auto"/>
        <w:left w:val="none" w:sz="0" w:space="0" w:color="auto"/>
        <w:bottom w:val="none" w:sz="0" w:space="0" w:color="auto"/>
        <w:right w:val="none" w:sz="0" w:space="0" w:color="auto"/>
      </w:divBdr>
    </w:div>
    <w:div w:id="601492824">
      <w:bodyDiv w:val="1"/>
      <w:marLeft w:val="0"/>
      <w:marRight w:val="0"/>
      <w:marTop w:val="0"/>
      <w:marBottom w:val="0"/>
      <w:divBdr>
        <w:top w:val="none" w:sz="0" w:space="0" w:color="auto"/>
        <w:left w:val="none" w:sz="0" w:space="0" w:color="auto"/>
        <w:bottom w:val="none" w:sz="0" w:space="0" w:color="auto"/>
        <w:right w:val="none" w:sz="0" w:space="0" w:color="auto"/>
      </w:divBdr>
    </w:div>
    <w:div w:id="795951412">
      <w:bodyDiv w:val="1"/>
      <w:marLeft w:val="0"/>
      <w:marRight w:val="0"/>
      <w:marTop w:val="0"/>
      <w:marBottom w:val="0"/>
      <w:divBdr>
        <w:top w:val="none" w:sz="0" w:space="0" w:color="auto"/>
        <w:left w:val="none" w:sz="0" w:space="0" w:color="auto"/>
        <w:bottom w:val="none" w:sz="0" w:space="0" w:color="auto"/>
        <w:right w:val="none" w:sz="0" w:space="0" w:color="auto"/>
      </w:divBdr>
    </w:div>
    <w:div w:id="870264687">
      <w:bodyDiv w:val="1"/>
      <w:marLeft w:val="0"/>
      <w:marRight w:val="0"/>
      <w:marTop w:val="0"/>
      <w:marBottom w:val="0"/>
      <w:divBdr>
        <w:top w:val="none" w:sz="0" w:space="0" w:color="auto"/>
        <w:left w:val="none" w:sz="0" w:space="0" w:color="auto"/>
        <w:bottom w:val="none" w:sz="0" w:space="0" w:color="auto"/>
        <w:right w:val="none" w:sz="0" w:space="0" w:color="auto"/>
      </w:divBdr>
    </w:div>
    <w:div w:id="930164189">
      <w:bodyDiv w:val="1"/>
      <w:marLeft w:val="0"/>
      <w:marRight w:val="0"/>
      <w:marTop w:val="0"/>
      <w:marBottom w:val="0"/>
      <w:divBdr>
        <w:top w:val="none" w:sz="0" w:space="0" w:color="auto"/>
        <w:left w:val="none" w:sz="0" w:space="0" w:color="auto"/>
        <w:bottom w:val="none" w:sz="0" w:space="0" w:color="auto"/>
        <w:right w:val="none" w:sz="0" w:space="0" w:color="auto"/>
      </w:divBdr>
    </w:div>
    <w:div w:id="1330328163">
      <w:bodyDiv w:val="1"/>
      <w:marLeft w:val="0"/>
      <w:marRight w:val="0"/>
      <w:marTop w:val="0"/>
      <w:marBottom w:val="0"/>
      <w:divBdr>
        <w:top w:val="none" w:sz="0" w:space="0" w:color="auto"/>
        <w:left w:val="none" w:sz="0" w:space="0" w:color="auto"/>
        <w:bottom w:val="none" w:sz="0" w:space="0" w:color="auto"/>
        <w:right w:val="none" w:sz="0" w:space="0" w:color="auto"/>
      </w:divBdr>
    </w:div>
    <w:div w:id="1374579550">
      <w:bodyDiv w:val="1"/>
      <w:marLeft w:val="0"/>
      <w:marRight w:val="0"/>
      <w:marTop w:val="0"/>
      <w:marBottom w:val="0"/>
      <w:divBdr>
        <w:top w:val="none" w:sz="0" w:space="0" w:color="auto"/>
        <w:left w:val="none" w:sz="0" w:space="0" w:color="auto"/>
        <w:bottom w:val="none" w:sz="0" w:space="0" w:color="auto"/>
        <w:right w:val="none" w:sz="0" w:space="0" w:color="auto"/>
      </w:divBdr>
    </w:div>
    <w:div w:id="1466699600">
      <w:bodyDiv w:val="1"/>
      <w:marLeft w:val="0"/>
      <w:marRight w:val="0"/>
      <w:marTop w:val="0"/>
      <w:marBottom w:val="0"/>
      <w:divBdr>
        <w:top w:val="none" w:sz="0" w:space="0" w:color="auto"/>
        <w:left w:val="none" w:sz="0" w:space="0" w:color="auto"/>
        <w:bottom w:val="none" w:sz="0" w:space="0" w:color="auto"/>
        <w:right w:val="none" w:sz="0" w:space="0" w:color="auto"/>
      </w:divBdr>
    </w:div>
    <w:div w:id="1533302888">
      <w:bodyDiv w:val="1"/>
      <w:marLeft w:val="0"/>
      <w:marRight w:val="0"/>
      <w:marTop w:val="0"/>
      <w:marBottom w:val="0"/>
      <w:divBdr>
        <w:top w:val="none" w:sz="0" w:space="0" w:color="auto"/>
        <w:left w:val="none" w:sz="0" w:space="0" w:color="auto"/>
        <w:bottom w:val="none" w:sz="0" w:space="0" w:color="auto"/>
        <w:right w:val="none" w:sz="0" w:space="0" w:color="auto"/>
      </w:divBdr>
    </w:div>
    <w:div w:id="1599558657">
      <w:bodyDiv w:val="1"/>
      <w:marLeft w:val="0"/>
      <w:marRight w:val="0"/>
      <w:marTop w:val="0"/>
      <w:marBottom w:val="0"/>
      <w:divBdr>
        <w:top w:val="none" w:sz="0" w:space="0" w:color="auto"/>
        <w:left w:val="none" w:sz="0" w:space="0" w:color="auto"/>
        <w:bottom w:val="none" w:sz="0" w:space="0" w:color="auto"/>
        <w:right w:val="none" w:sz="0" w:space="0" w:color="auto"/>
      </w:divBdr>
    </w:div>
    <w:div w:id="1709061753">
      <w:bodyDiv w:val="1"/>
      <w:marLeft w:val="0"/>
      <w:marRight w:val="0"/>
      <w:marTop w:val="0"/>
      <w:marBottom w:val="0"/>
      <w:divBdr>
        <w:top w:val="none" w:sz="0" w:space="0" w:color="auto"/>
        <w:left w:val="none" w:sz="0" w:space="0" w:color="auto"/>
        <w:bottom w:val="none" w:sz="0" w:space="0" w:color="auto"/>
        <w:right w:val="none" w:sz="0" w:space="0" w:color="auto"/>
      </w:divBdr>
    </w:div>
    <w:div w:id="1729844511">
      <w:bodyDiv w:val="1"/>
      <w:marLeft w:val="0"/>
      <w:marRight w:val="0"/>
      <w:marTop w:val="0"/>
      <w:marBottom w:val="0"/>
      <w:divBdr>
        <w:top w:val="none" w:sz="0" w:space="0" w:color="auto"/>
        <w:left w:val="none" w:sz="0" w:space="0" w:color="auto"/>
        <w:bottom w:val="none" w:sz="0" w:space="0" w:color="auto"/>
        <w:right w:val="none" w:sz="0" w:space="0" w:color="auto"/>
      </w:divBdr>
    </w:div>
    <w:div w:id="1848522212">
      <w:bodyDiv w:val="1"/>
      <w:marLeft w:val="0"/>
      <w:marRight w:val="0"/>
      <w:marTop w:val="0"/>
      <w:marBottom w:val="0"/>
      <w:divBdr>
        <w:top w:val="none" w:sz="0" w:space="0" w:color="auto"/>
        <w:left w:val="none" w:sz="0" w:space="0" w:color="auto"/>
        <w:bottom w:val="none" w:sz="0" w:space="0" w:color="auto"/>
        <w:right w:val="none" w:sz="0" w:space="0" w:color="auto"/>
      </w:divBdr>
    </w:div>
    <w:div w:id="1872523405">
      <w:bodyDiv w:val="1"/>
      <w:marLeft w:val="0"/>
      <w:marRight w:val="0"/>
      <w:marTop w:val="0"/>
      <w:marBottom w:val="0"/>
      <w:divBdr>
        <w:top w:val="none" w:sz="0" w:space="0" w:color="auto"/>
        <w:left w:val="none" w:sz="0" w:space="0" w:color="auto"/>
        <w:bottom w:val="none" w:sz="0" w:space="0" w:color="auto"/>
        <w:right w:val="none" w:sz="0" w:space="0" w:color="auto"/>
      </w:divBdr>
    </w:div>
    <w:div w:id="1949774317">
      <w:bodyDiv w:val="1"/>
      <w:marLeft w:val="0"/>
      <w:marRight w:val="0"/>
      <w:marTop w:val="0"/>
      <w:marBottom w:val="0"/>
      <w:divBdr>
        <w:top w:val="none" w:sz="0" w:space="0" w:color="auto"/>
        <w:left w:val="none" w:sz="0" w:space="0" w:color="auto"/>
        <w:bottom w:val="none" w:sz="0" w:space="0" w:color="auto"/>
        <w:right w:val="none" w:sz="0" w:space="0" w:color="auto"/>
      </w:divBdr>
    </w:div>
    <w:div w:id="2090492101">
      <w:bodyDiv w:val="1"/>
      <w:marLeft w:val="0"/>
      <w:marRight w:val="0"/>
      <w:marTop w:val="0"/>
      <w:marBottom w:val="0"/>
      <w:divBdr>
        <w:top w:val="none" w:sz="0" w:space="0" w:color="auto"/>
        <w:left w:val="none" w:sz="0" w:space="0" w:color="auto"/>
        <w:bottom w:val="none" w:sz="0" w:space="0" w:color="auto"/>
        <w:right w:val="none" w:sz="0" w:space="0" w:color="auto"/>
      </w:divBdr>
    </w:div>
    <w:div w:id="21137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8F57-4828-4FD1-A25A-25F1E1B9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1855</Words>
  <Characters>10687</Characters>
  <Application>Microsoft Office Word</Application>
  <DocSecurity>0</DocSecurity>
  <Lines>142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Taylor</dc:creator>
  <cp:keywords/>
  <dc:description/>
  <cp:lastModifiedBy>Jon Taylor</cp:lastModifiedBy>
  <cp:revision>159</cp:revision>
  <dcterms:created xsi:type="dcterms:W3CDTF">2020-04-06T15:05:00Z</dcterms:created>
  <dcterms:modified xsi:type="dcterms:W3CDTF">2020-05-29T18:30:00Z</dcterms:modified>
</cp:coreProperties>
</file>