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43B39108" w:rsidR="00226288" w:rsidRPr="00226288" w:rsidRDefault="00226288" w:rsidP="00477DAB">
      <w:pPr>
        <w:spacing w:line="480" w:lineRule="auto"/>
        <w:contextualSpacing/>
      </w:pPr>
      <w:r w:rsidRPr="00226288">
        <w:t xml:space="preserve">An </w:t>
      </w:r>
      <w:r w:rsidR="00081AC4">
        <w:t>Image</w:t>
      </w:r>
      <w:r w:rsidRPr="00226288">
        <w:t xml:space="preserve"> of the Future – </w:t>
      </w:r>
      <w:r w:rsidR="0038365B">
        <w:t>Entity 2</w:t>
      </w:r>
      <w:r w:rsidRPr="00226288">
        <w:t xml:space="preserve"> and Regional Service District </w:t>
      </w:r>
      <w:r w:rsidR="00081AC4">
        <w:t>1</w:t>
      </w:r>
    </w:p>
    <w:p w14:paraId="70CB123F" w14:textId="4332A8F4" w:rsidR="00226288" w:rsidRPr="00226288" w:rsidRDefault="00226288" w:rsidP="00226288">
      <w:pPr>
        <w:rPr>
          <w:rFonts w:eastAsia="Times New Roman"/>
        </w:rPr>
      </w:pPr>
      <w:r w:rsidRPr="00226288">
        <w:rPr>
          <w:rFonts w:eastAsia="Times New Roman"/>
        </w:rPr>
        <w:t xml:space="preserve">To illustrate the benefits of this new framework, take the example of </w:t>
      </w:r>
      <w:r w:rsidR="0038365B">
        <w:rPr>
          <w:rFonts w:eastAsia="Times New Roman"/>
        </w:rPr>
        <w:t>Entity 2</w:t>
      </w:r>
      <w:r w:rsidR="006736F1">
        <w:rPr>
          <w:rFonts w:eastAsia="Times New Roman"/>
        </w:rPr>
        <w:t>.</w:t>
      </w:r>
      <w:r w:rsidRPr="00226288">
        <w:rPr>
          <w:rFonts w:eastAsia="Times New Roman"/>
        </w:rPr>
        <w:t xml:space="preserve"> For the duration of this discussion the municipality shall be referred to as </w:t>
      </w:r>
      <w:r w:rsidR="0038365B">
        <w:rPr>
          <w:rFonts w:eastAsia="Times New Roman"/>
        </w:rPr>
        <w:t>Entity 2</w:t>
      </w:r>
      <w:r w:rsidRPr="00226288">
        <w:rPr>
          <w:rFonts w:eastAsia="Times New Roman"/>
        </w:rPr>
        <w:t xml:space="preserve">, as while the municipality could conceivably adopt </w:t>
      </w:r>
      <w:r w:rsidR="0038365B">
        <w:rPr>
          <w:rFonts w:eastAsia="Times New Roman"/>
        </w:rPr>
        <w:t>Edmundston</w:t>
      </w:r>
      <w:r w:rsidR="006B2E58">
        <w:rPr>
          <w:rFonts w:eastAsia="Times New Roman"/>
        </w:rPr>
        <w:t>,</w:t>
      </w:r>
      <w:r w:rsidRPr="00226288">
        <w:rPr>
          <w:rFonts w:eastAsia="Times New Roman"/>
        </w:rPr>
        <w:t xml:space="preserve"> the naming of the 53 municipal entities remains a task for the citizens of each entity.</w:t>
      </w:r>
      <w:r w:rsidRPr="00226288">
        <w:rPr>
          <w:rFonts w:eastAsia="Times New Roman"/>
          <w:vertAlign w:val="superscript"/>
        </w:rPr>
        <w:footnoteReference w:id="1"/>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46CB93EE" w:rsidR="00226288" w:rsidRPr="00226288" w:rsidRDefault="00226288" w:rsidP="00226288">
      <w:pPr>
        <w:rPr>
          <w:b/>
          <w:bCs/>
        </w:rPr>
      </w:pPr>
      <w:r w:rsidRPr="00226288">
        <w:rPr>
          <w:rFonts w:eastAsia="Times New Roman"/>
          <w:b/>
          <w:bCs/>
        </w:rPr>
        <w:t>Geographic Boundaries</w:t>
      </w:r>
    </w:p>
    <w:p w14:paraId="42989BD8" w14:textId="365E18D9" w:rsidR="00226288" w:rsidRPr="00226288" w:rsidRDefault="00E5369A" w:rsidP="00226288">
      <w:pPr>
        <w:rPr>
          <w:szCs w:val="24"/>
        </w:rPr>
      </w:pPr>
      <w:r>
        <w:rPr>
          <w:rFonts w:eastAsia="Times New Roman"/>
          <w:noProof/>
          <w:lang w:val="en-CA" w:eastAsia="en-CA"/>
        </w:rPr>
        <w:drawing>
          <wp:anchor distT="0" distB="0" distL="114300" distR="114300" simplePos="0" relativeHeight="251657728" behindDoc="0" locked="0" layoutInCell="1" allowOverlap="1" wp14:anchorId="04D94468" wp14:editId="38CDB55A">
            <wp:simplePos x="0" y="0"/>
            <wp:positionH relativeFrom="column">
              <wp:posOffset>2434428</wp:posOffset>
            </wp:positionH>
            <wp:positionV relativeFrom="paragraph">
              <wp:posOffset>767272</wp:posOffset>
            </wp:positionV>
            <wp:extent cx="3508375" cy="3850640"/>
            <wp:effectExtent l="0" t="0" r="0" b="0"/>
            <wp:wrapThrough wrapText="bothSides">
              <wp:wrapPolygon edited="0">
                <wp:start x="469" y="0"/>
                <wp:lineTo x="0" y="214"/>
                <wp:lineTo x="0" y="21372"/>
                <wp:lineTo x="469" y="21479"/>
                <wp:lineTo x="20994" y="21479"/>
                <wp:lineTo x="21463" y="21372"/>
                <wp:lineTo x="21463" y="214"/>
                <wp:lineTo x="20994" y="0"/>
                <wp:lineTo x="469"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8844" t="13235" r="52952" b="52363"/>
                    <a:stretch/>
                  </pic:blipFill>
                  <pic:spPr bwMode="auto">
                    <a:xfrm>
                      <a:off x="0" y="0"/>
                      <a:ext cx="3508375" cy="38506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365B">
        <w:rPr>
          <w:szCs w:val="24"/>
        </w:rPr>
        <w:t>Entity 2</w:t>
      </w:r>
      <w:r w:rsidR="00D02067">
        <w:rPr>
          <w:szCs w:val="24"/>
        </w:rPr>
        <w:t xml:space="preserve"> would be comprised of </w:t>
      </w:r>
      <w:r w:rsidR="0038365B">
        <w:rPr>
          <w:szCs w:val="24"/>
        </w:rPr>
        <w:t>City of Edmun</w:t>
      </w:r>
      <w:r w:rsidR="00722628">
        <w:rPr>
          <w:szCs w:val="24"/>
        </w:rPr>
        <w:t>d</w:t>
      </w:r>
      <w:r w:rsidR="0038365B">
        <w:rPr>
          <w:szCs w:val="24"/>
        </w:rPr>
        <w:t>ston and the Saint Jacques, Saint-Basile, and Saint-Joseph LSDs.</w:t>
      </w:r>
      <w:r w:rsidR="00360FA1">
        <w:rPr>
          <w:szCs w:val="24"/>
        </w:rPr>
        <w:t xml:space="preserve"> </w:t>
      </w:r>
      <w:r w:rsidR="003975CE">
        <w:rPr>
          <w:szCs w:val="24"/>
        </w:rPr>
        <w:t xml:space="preserve">The </w:t>
      </w:r>
      <w:r w:rsidR="00205CFB">
        <w:rPr>
          <w:szCs w:val="24"/>
        </w:rPr>
        <w:t>municipal</w:t>
      </w:r>
      <w:r w:rsidR="00E316AF">
        <w:rPr>
          <w:szCs w:val="24"/>
        </w:rPr>
        <w:t xml:space="preserve"> entity would </w:t>
      </w:r>
      <w:r w:rsidR="00722628">
        <w:rPr>
          <w:szCs w:val="24"/>
        </w:rPr>
        <w:t xml:space="preserve">extend to the province’s northern border with Quebec, but turn south-east to follow the Restigouche county line. The eastern boundary would not follow traditional parish lines, but Crown lands. </w:t>
      </w:r>
    </w:p>
    <w:p w14:paraId="4750B350" w14:textId="7AA8BCC0" w:rsidR="00226288" w:rsidRPr="00226288" w:rsidRDefault="0038365B" w:rsidP="00226288">
      <w:pPr>
        <w:rPr>
          <w:rFonts w:eastAsia="Times New Roman"/>
          <w:b/>
          <w:bCs/>
        </w:rPr>
      </w:pPr>
      <w:r w:rsidRPr="00226288">
        <w:rPr>
          <w:noProof/>
          <w:lang w:val="en-CA" w:eastAsia="en-CA"/>
        </w:rPr>
        <w:drawing>
          <wp:anchor distT="0" distB="0" distL="114300" distR="114300" simplePos="0" relativeHeight="251658752" behindDoc="0" locked="0" layoutInCell="1" allowOverlap="1" wp14:anchorId="57FA4B48" wp14:editId="6928F904">
            <wp:simplePos x="0" y="0"/>
            <wp:positionH relativeFrom="column">
              <wp:posOffset>2434369</wp:posOffset>
            </wp:positionH>
            <wp:positionV relativeFrom="paragraph">
              <wp:posOffset>114300</wp:posOffset>
            </wp:positionV>
            <wp:extent cx="1264920" cy="1539240"/>
            <wp:effectExtent l="0" t="0" r="0" b="3810"/>
            <wp:wrapThrough wrapText="bothSides">
              <wp:wrapPolygon edited="0">
                <wp:start x="1301" y="0"/>
                <wp:lineTo x="0" y="535"/>
                <wp:lineTo x="0" y="21119"/>
                <wp:lineTo x="1301" y="21386"/>
                <wp:lineTo x="19843" y="21386"/>
                <wp:lineTo x="21145" y="21119"/>
                <wp:lineTo x="21145" y="535"/>
                <wp:lineTo x="19843" y="0"/>
                <wp:lineTo x="1301" y="0"/>
              </wp:wrapPolygon>
            </wp:wrapThrough>
            <wp:docPr id="1732244913" name="Picture 173224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078" t="56505" r="61803" b="14955"/>
                    <a:stretch/>
                  </pic:blipFill>
                  <pic:spPr bwMode="auto">
                    <a:xfrm>
                      <a:off x="0" y="0"/>
                      <a:ext cx="1264920" cy="15392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288" w:rsidRPr="00226288">
        <w:rPr>
          <w:rFonts w:eastAsia="Times New Roman"/>
          <w:b/>
          <w:bCs/>
        </w:rPr>
        <w:t>Demographic Base</w:t>
      </w:r>
    </w:p>
    <w:p w14:paraId="311C7477" w14:textId="75622C54" w:rsidR="0038365B" w:rsidRDefault="00226288" w:rsidP="00226288">
      <w:pPr>
        <w:rPr>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 xml:space="preserve">would be approximately </w:t>
      </w:r>
      <w:r w:rsidR="0038365B">
        <w:rPr>
          <w:szCs w:val="24"/>
        </w:rPr>
        <w:t xml:space="preserve">20300 </w:t>
      </w:r>
      <w:r w:rsidR="006437C2">
        <w:rPr>
          <w:szCs w:val="24"/>
        </w:rPr>
        <w:t>people</w:t>
      </w:r>
      <w:r w:rsidR="0038365B">
        <w:rPr>
          <w:szCs w:val="24"/>
        </w:rPr>
        <w:t>, down from 20500 in 2011</w:t>
      </w:r>
      <w:r w:rsidR="006437C2">
        <w:rPr>
          <w:szCs w:val="24"/>
        </w:rPr>
        <w:t>.</w:t>
      </w:r>
      <w:r w:rsidR="00722628">
        <w:rPr>
          <w:szCs w:val="24"/>
        </w:rPr>
        <w:t xml:space="preserve"> While Edmundston has seen some population growth in this period, the proposed entity’s overall population decline can be attributed to significant decreases in Saint-Basile and Saint-Joseph. </w:t>
      </w:r>
    </w:p>
    <w:p w14:paraId="7DFBF1FB" w14:textId="4C3B0A99" w:rsidR="00226288" w:rsidRPr="00226288" w:rsidRDefault="00226288" w:rsidP="00226288">
      <w:pPr>
        <w:rPr>
          <w:szCs w:val="24"/>
        </w:rPr>
      </w:pPr>
      <w:r w:rsidRPr="00226288">
        <w:rPr>
          <w:rFonts w:eastAsia="Times New Roman"/>
          <w:color w:val="000000" w:themeColor="text1"/>
          <w:szCs w:val="24"/>
        </w:rPr>
        <w:t xml:space="preserve">In accordance with the </w:t>
      </w:r>
      <w:r w:rsidRPr="00226288">
        <w:rPr>
          <w:rFonts w:eastAsia="Times New Roman"/>
          <w:i/>
          <w:iCs/>
          <w:color w:val="000000" w:themeColor="text1"/>
          <w:szCs w:val="24"/>
        </w:rPr>
        <w:t>Official Languages Act</w:t>
      </w:r>
      <w:r w:rsidRPr="00226288">
        <w:rPr>
          <w:rFonts w:eastAsia="Times New Roman"/>
          <w:color w:val="000000" w:themeColor="text1"/>
          <w:szCs w:val="24"/>
        </w:rPr>
        <w:t xml:space="preserve">, </w:t>
      </w:r>
      <w:r w:rsidR="0038365B">
        <w:rPr>
          <w:rFonts w:eastAsia="Times New Roman"/>
          <w:color w:val="000000" w:themeColor="text1"/>
          <w:szCs w:val="24"/>
        </w:rPr>
        <w:t>Entity 2</w:t>
      </w:r>
      <w:r w:rsidRPr="00226288">
        <w:rPr>
          <w:rFonts w:eastAsia="Times New Roman"/>
          <w:color w:val="000000" w:themeColor="text1"/>
          <w:szCs w:val="24"/>
        </w:rPr>
        <w:t xml:space="preserve"> would </w:t>
      </w:r>
      <w:r w:rsidR="003219CB">
        <w:rPr>
          <w:rFonts w:eastAsia="Times New Roman"/>
          <w:color w:val="000000" w:themeColor="text1"/>
          <w:szCs w:val="24"/>
        </w:rPr>
        <w:t xml:space="preserve">not </w:t>
      </w:r>
      <w:r w:rsidRPr="00226288">
        <w:rPr>
          <w:rFonts w:eastAsia="Times New Roman"/>
          <w:color w:val="000000" w:themeColor="text1"/>
          <w:szCs w:val="24"/>
        </w:rPr>
        <w:t xml:space="preserve">be required to operate bilingually because </w:t>
      </w:r>
      <w:r w:rsidR="003219CB">
        <w:rPr>
          <w:rFonts w:eastAsia="Times New Roman"/>
          <w:color w:val="000000" w:themeColor="text1"/>
          <w:szCs w:val="24"/>
        </w:rPr>
        <w:t>nearly 9</w:t>
      </w:r>
      <w:r w:rsidR="002F6043">
        <w:rPr>
          <w:rFonts w:eastAsia="Times New Roman"/>
          <w:color w:val="000000" w:themeColor="text1"/>
          <w:szCs w:val="24"/>
        </w:rPr>
        <w:t>4</w:t>
      </w:r>
      <w:r w:rsidR="003219CB">
        <w:rPr>
          <w:rFonts w:eastAsia="Times New Roman"/>
          <w:color w:val="000000" w:themeColor="text1"/>
          <w:szCs w:val="24"/>
        </w:rPr>
        <w:t>% of the residents are Francophone</w:t>
      </w:r>
      <w:r w:rsidR="0009529B">
        <w:rPr>
          <w:rFonts w:eastAsia="Times New Roman"/>
          <w:color w:val="000000" w:themeColor="text1"/>
          <w:szCs w:val="24"/>
        </w:rPr>
        <w:t xml:space="preserve">s. </w:t>
      </w:r>
      <w:r w:rsidRPr="00226288">
        <w:rPr>
          <w:rFonts w:eastAsia="Times New Roman"/>
          <w:color w:val="000000" w:themeColor="text1"/>
          <w:szCs w:val="24"/>
        </w:rPr>
        <w:t xml:space="preserve"> </w:t>
      </w:r>
    </w:p>
    <w:p w14:paraId="0FB67767" w14:textId="0FCEF132" w:rsidR="00FB5B6B" w:rsidRDefault="009A3B95" w:rsidP="00431ACD">
      <w:pPr>
        <w:rPr>
          <w:rFonts w:eastAsia="Times New Roman"/>
          <w:color w:val="000000" w:themeColor="text1"/>
          <w:szCs w:val="24"/>
        </w:rPr>
      </w:pPr>
      <w:r>
        <w:rPr>
          <w:rFonts w:eastAsia="Times New Roman"/>
          <w:color w:val="000000" w:themeColor="text1"/>
          <w:szCs w:val="24"/>
        </w:rPr>
        <w:t xml:space="preserve">As it stands today, the vast majority of the </w:t>
      </w:r>
      <w:r w:rsidR="009106B0">
        <w:rPr>
          <w:rFonts w:eastAsia="Times New Roman"/>
          <w:color w:val="000000" w:themeColor="text1"/>
          <w:szCs w:val="24"/>
        </w:rPr>
        <w:t xml:space="preserve">proposed entity’s landmass has no representative local government. </w:t>
      </w:r>
      <w:r w:rsidR="00A73828" w:rsidRPr="00226288">
        <w:rPr>
          <w:rFonts w:eastAsia="Times New Roman"/>
          <w:color w:val="000000" w:themeColor="text1"/>
          <w:szCs w:val="24"/>
        </w:rPr>
        <w:t xml:space="preserve">The unification of the </w:t>
      </w:r>
      <w:r w:rsidR="00A73828">
        <w:rPr>
          <w:rFonts w:eastAsia="Times New Roman"/>
          <w:color w:val="000000" w:themeColor="text1"/>
          <w:szCs w:val="24"/>
        </w:rPr>
        <w:t xml:space="preserve">region’s </w:t>
      </w:r>
      <w:r w:rsidR="00A73828" w:rsidRPr="00226288">
        <w:rPr>
          <w:rFonts w:eastAsia="Times New Roman"/>
          <w:color w:val="000000" w:themeColor="text1"/>
          <w:szCs w:val="24"/>
        </w:rPr>
        <w:t xml:space="preserve">population would improve the state of local democratic institutions. </w:t>
      </w:r>
      <w:r w:rsidR="00431ACD">
        <w:rPr>
          <w:rFonts w:eastAsia="Times New Roman"/>
          <w:color w:val="000000" w:themeColor="text1"/>
          <w:szCs w:val="24"/>
        </w:rPr>
        <w:t>Incorporating the entire proposed entity would allow for more cohesive economic development and potentially stem the population decreases in the entity’s peripheral communities,</w:t>
      </w:r>
      <w:r w:rsidR="00FB5B6B">
        <w:rPr>
          <w:rFonts w:eastAsia="Times New Roman"/>
          <w:color w:val="000000" w:themeColor="text1"/>
          <w:szCs w:val="24"/>
        </w:rPr>
        <w:t xml:space="preserve"> but most importantly it would</w:t>
      </w:r>
      <w:r w:rsidR="00431ACD">
        <w:rPr>
          <w:rFonts w:eastAsia="Times New Roman"/>
          <w:color w:val="000000" w:themeColor="text1"/>
          <w:szCs w:val="24"/>
        </w:rPr>
        <w:t xml:space="preserve"> </w:t>
      </w:r>
      <w:r w:rsidR="00FB5B6B">
        <w:rPr>
          <w:rFonts w:eastAsia="Times New Roman"/>
          <w:color w:val="000000" w:themeColor="text1"/>
          <w:szCs w:val="24"/>
        </w:rPr>
        <w:t xml:space="preserve">create </w:t>
      </w:r>
      <w:r w:rsidR="00431ACD">
        <w:rPr>
          <w:rFonts w:eastAsia="Times New Roman"/>
          <w:color w:val="000000" w:themeColor="text1"/>
          <w:szCs w:val="24"/>
        </w:rPr>
        <w:t xml:space="preserve">a robust voting population invested in the future of their community. </w:t>
      </w:r>
    </w:p>
    <w:p w14:paraId="52F7D93C" w14:textId="3248E7E0" w:rsidR="00614875" w:rsidRDefault="00FB5B6B" w:rsidP="00614875">
      <w:pPr>
        <w:rPr>
          <w:rFonts w:eastAsia="Times New Roman"/>
          <w:color w:val="000000" w:themeColor="text1"/>
          <w:szCs w:val="24"/>
        </w:rPr>
      </w:pPr>
      <w:r>
        <w:rPr>
          <w:rFonts w:eastAsia="Times New Roman"/>
          <w:color w:val="000000" w:themeColor="text1"/>
          <w:szCs w:val="24"/>
        </w:rPr>
        <w:lastRenderedPageBreak/>
        <w:t xml:space="preserve">Edmundston does have a significantly higher voter turnout </w:t>
      </w:r>
      <w:r w:rsidR="00530D87">
        <w:rPr>
          <w:rFonts w:eastAsia="Times New Roman"/>
          <w:color w:val="000000" w:themeColor="text1"/>
          <w:szCs w:val="24"/>
        </w:rPr>
        <w:t xml:space="preserve">than other cities in the province, but the </w:t>
      </w:r>
      <w:r w:rsidR="00742C53">
        <w:rPr>
          <w:rFonts w:eastAsia="Times New Roman"/>
          <w:color w:val="000000" w:themeColor="text1"/>
          <w:szCs w:val="24"/>
        </w:rPr>
        <w:t>change in voter participation rates between the</w:t>
      </w:r>
      <w:r w:rsidR="00530D87">
        <w:rPr>
          <w:rFonts w:eastAsia="Times New Roman"/>
          <w:color w:val="000000" w:themeColor="text1"/>
          <w:szCs w:val="24"/>
        </w:rPr>
        <w:t xml:space="preserve"> 2012 and 2016 quadrennial elections</w:t>
      </w:r>
      <w:r w:rsidR="00742C53">
        <w:rPr>
          <w:rFonts w:eastAsia="Times New Roman"/>
          <w:color w:val="000000" w:themeColor="text1"/>
          <w:szCs w:val="24"/>
        </w:rPr>
        <w:t xml:space="preserve"> is</w:t>
      </w:r>
      <w:r w:rsidR="00530D87">
        <w:rPr>
          <w:rFonts w:eastAsia="Times New Roman"/>
          <w:color w:val="000000" w:themeColor="text1"/>
          <w:szCs w:val="24"/>
        </w:rPr>
        <w:t xml:space="preserve"> a cause of concern. While th</w:t>
      </w:r>
      <w:r w:rsidR="00CB1099">
        <w:rPr>
          <w:rFonts w:eastAsia="Times New Roman"/>
          <w:color w:val="000000" w:themeColor="text1"/>
          <w:szCs w:val="24"/>
        </w:rPr>
        <w:t xml:space="preserve">e voter participation rate in 2016 was still nearly 60%, that 2016 rate represented a </w:t>
      </w:r>
      <w:r w:rsidR="008976B5">
        <w:rPr>
          <w:rFonts w:eastAsia="Times New Roman"/>
          <w:color w:val="000000" w:themeColor="text1"/>
          <w:szCs w:val="24"/>
        </w:rPr>
        <w:t>10-point</w:t>
      </w:r>
      <w:r w:rsidR="00CB1099">
        <w:rPr>
          <w:rFonts w:eastAsia="Times New Roman"/>
          <w:color w:val="000000" w:themeColor="text1"/>
          <w:szCs w:val="24"/>
        </w:rPr>
        <w:t xml:space="preserve"> drop from the previous election cycle. </w:t>
      </w:r>
      <w:r w:rsidR="008976B5">
        <w:rPr>
          <w:rFonts w:eastAsia="Times New Roman"/>
          <w:color w:val="000000" w:themeColor="text1"/>
          <w:szCs w:val="24"/>
        </w:rPr>
        <w:t xml:space="preserve">While there is no indication that the 2021 elections will report a further </w:t>
      </w:r>
      <w:r w:rsidR="00E54647">
        <w:rPr>
          <w:rFonts w:eastAsia="Times New Roman"/>
          <w:color w:val="000000" w:themeColor="text1"/>
          <w:szCs w:val="24"/>
        </w:rPr>
        <w:t xml:space="preserve">10-point drop, there is still cause for suspicion about the </w:t>
      </w:r>
      <w:r w:rsidR="00866C1C">
        <w:rPr>
          <w:rFonts w:eastAsia="Times New Roman"/>
          <w:color w:val="000000" w:themeColor="text1"/>
          <w:szCs w:val="24"/>
        </w:rPr>
        <w:t>sustainability</w:t>
      </w:r>
      <w:r w:rsidR="00E54647">
        <w:rPr>
          <w:rFonts w:eastAsia="Times New Roman"/>
          <w:color w:val="000000" w:themeColor="text1"/>
          <w:szCs w:val="24"/>
        </w:rPr>
        <w:t xml:space="preserve"> of </w:t>
      </w:r>
      <w:r w:rsidR="00866C1C">
        <w:rPr>
          <w:rFonts w:eastAsia="Times New Roman"/>
          <w:color w:val="000000" w:themeColor="text1"/>
          <w:szCs w:val="24"/>
        </w:rPr>
        <w:t>Edmundston’s</w:t>
      </w:r>
      <w:r w:rsidR="00E54647">
        <w:rPr>
          <w:rFonts w:eastAsia="Times New Roman"/>
          <w:color w:val="000000" w:themeColor="text1"/>
          <w:szCs w:val="24"/>
        </w:rPr>
        <w:t xml:space="preserve"> voter </w:t>
      </w:r>
      <w:r w:rsidR="00866C1C">
        <w:rPr>
          <w:rFonts w:eastAsia="Times New Roman"/>
          <w:color w:val="000000" w:themeColor="text1"/>
          <w:szCs w:val="24"/>
        </w:rPr>
        <w:t>participation</w:t>
      </w:r>
      <w:r w:rsidR="00E54647">
        <w:rPr>
          <w:rFonts w:eastAsia="Times New Roman"/>
          <w:color w:val="000000" w:themeColor="text1"/>
          <w:szCs w:val="24"/>
        </w:rPr>
        <w:t xml:space="preserve"> rate as </w:t>
      </w:r>
      <w:r w:rsidR="00866C1C">
        <w:rPr>
          <w:rFonts w:eastAsia="Times New Roman"/>
          <w:color w:val="000000" w:themeColor="text1"/>
          <w:szCs w:val="24"/>
        </w:rPr>
        <w:t xml:space="preserve">the city moves forward. </w:t>
      </w:r>
    </w:p>
    <w:tbl>
      <w:tblPr>
        <w:tblpPr w:leftFromText="180" w:rightFromText="180" w:vertAnchor="text" w:horzAnchor="margin" w:tblpY="49"/>
        <w:tblOverlap w:val="never"/>
        <w:tblW w:w="5797" w:type="dxa"/>
        <w:tblLook w:val="04A0" w:firstRow="1" w:lastRow="0" w:firstColumn="1" w:lastColumn="0" w:noHBand="0" w:noVBand="1"/>
      </w:tblPr>
      <w:tblGrid>
        <w:gridCol w:w="2496"/>
        <w:gridCol w:w="1652"/>
        <w:gridCol w:w="1649"/>
      </w:tblGrid>
      <w:tr w:rsidR="00614875" w:rsidRPr="00481532" w14:paraId="38CF43BD" w14:textId="77777777" w:rsidTr="00614875">
        <w:trPr>
          <w:trHeight w:val="310"/>
        </w:trPr>
        <w:tc>
          <w:tcPr>
            <w:tcW w:w="5797" w:type="dxa"/>
            <w:gridSpan w:val="3"/>
            <w:tcBorders>
              <w:top w:val="nil"/>
              <w:left w:val="nil"/>
              <w:bottom w:val="single" w:sz="8" w:space="0" w:color="BFBFBF"/>
              <w:right w:val="nil"/>
            </w:tcBorders>
            <w:shd w:val="clear" w:color="auto" w:fill="auto"/>
            <w:noWrap/>
            <w:vAlign w:val="center"/>
            <w:hideMark/>
          </w:tcPr>
          <w:p w14:paraId="0955BA0D" w14:textId="77777777" w:rsidR="00614875" w:rsidRPr="00481532" w:rsidRDefault="00614875" w:rsidP="00614875">
            <w:pPr>
              <w:spacing w:after="0" w:line="240" w:lineRule="auto"/>
              <w:rPr>
                <w:rFonts w:eastAsia="Times New Roman"/>
                <w:b/>
                <w:bCs/>
                <w:color w:val="000000"/>
                <w:szCs w:val="24"/>
                <w:lang w:val="en-CA" w:eastAsia="en-CA"/>
              </w:rPr>
            </w:pPr>
            <w:r w:rsidRPr="00481532">
              <w:rPr>
                <w:rFonts w:eastAsia="Times New Roman"/>
                <w:b/>
                <w:bCs/>
                <w:color w:val="000000"/>
                <w:szCs w:val="24"/>
                <w:lang w:val="en-CA" w:eastAsia="en-CA"/>
              </w:rPr>
              <w:t>Voter Turnout by Existing Municipality</w:t>
            </w:r>
          </w:p>
        </w:tc>
      </w:tr>
      <w:tr w:rsidR="00614875" w:rsidRPr="00481532" w14:paraId="45BF5B2A" w14:textId="77777777" w:rsidTr="00614875">
        <w:trPr>
          <w:trHeight w:val="970"/>
        </w:trPr>
        <w:tc>
          <w:tcPr>
            <w:tcW w:w="2496" w:type="dxa"/>
            <w:tcBorders>
              <w:top w:val="nil"/>
              <w:left w:val="nil"/>
              <w:bottom w:val="nil"/>
              <w:right w:val="nil"/>
            </w:tcBorders>
            <w:shd w:val="clear" w:color="4472C4" w:fill="4472C4"/>
            <w:vAlign w:val="center"/>
            <w:hideMark/>
          </w:tcPr>
          <w:p w14:paraId="02667A49" w14:textId="77777777" w:rsidR="00614875" w:rsidRPr="00481532" w:rsidRDefault="00614875" w:rsidP="00614875">
            <w:pPr>
              <w:spacing w:after="0" w:line="240" w:lineRule="auto"/>
              <w:jc w:val="center"/>
              <w:rPr>
                <w:rFonts w:eastAsia="Times New Roman"/>
                <w:b/>
                <w:bCs/>
                <w:color w:val="000000"/>
                <w:szCs w:val="24"/>
                <w:lang w:val="en-CA" w:eastAsia="en-CA"/>
              </w:rPr>
            </w:pPr>
            <w:r w:rsidRPr="00481532">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306E0715" w14:textId="77777777" w:rsidR="00614875" w:rsidRPr="00481532" w:rsidRDefault="00614875" w:rsidP="00614875">
            <w:pPr>
              <w:spacing w:after="0" w:line="240" w:lineRule="auto"/>
              <w:jc w:val="center"/>
              <w:rPr>
                <w:rFonts w:eastAsia="Times New Roman"/>
                <w:b/>
                <w:bCs/>
                <w:color w:val="000000"/>
                <w:szCs w:val="24"/>
                <w:lang w:val="en-CA" w:eastAsia="en-CA"/>
              </w:rPr>
            </w:pPr>
            <w:r w:rsidRPr="00481532">
              <w:rPr>
                <w:rFonts w:eastAsia="Times New Roman"/>
                <w:b/>
                <w:bCs/>
                <w:color w:val="000000"/>
                <w:szCs w:val="24"/>
                <w:lang w:val="en-CA" w:eastAsia="en-CA"/>
              </w:rPr>
              <w:t>Voter Participation 2012</w:t>
            </w:r>
            <w:r w:rsidRPr="00481532">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08126BD4" w14:textId="77777777" w:rsidR="00614875" w:rsidRPr="00481532" w:rsidRDefault="00614875" w:rsidP="00614875">
            <w:pPr>
              <w:spacing w:after="0" w:line="240" w:lineRule="auto"/>
              <w:jc w:val="center"/>
              <w:rPr>
                <w:rFonts w:eastAsia="Times New Roman"/>
                <w:b/>
                <w:bCs/>
                <w:color w:val="000000"/>
                <w:szCs w:val="24"/>
                <w:lang w:val="en-CA" w:eastAsia="en-CA"/>
              </w:rPr>
            </w:pPr>
            <w:r w:rsidRPr="00481532">
              <w:rPr>
                <w:rFonts w:eastAsia="Times New Roman"/>
                <w:b/>
                <w:bCs/>
                <w:color w:val="000000"/>
                <w:szCs w:val="24"/>
                <w:lang w:val="en-CA" w:eastAsia="en-CA"/>
              </w:rPr>
              <w:t>Voter Participation 2016</w:t>
            </w:r>
          </w:p>
        </w:tc>
      </w:tr>
      <w:tr w:rsidR="00614875" w:rsidRPr="00481532" w14:paraId="5147A7A5" w14:textId="77777777" w:rsidTr="00614875">
        <w:trPr>
          <w:trHeight w:val="330"/>
        </w:trPr>
        <w:tc>
          <w:tcPr>
            <w:tcW w:w="2496" w:type="dxa"/>
            <w:tcBorders>
              <w:top w:val="single" w:sz="12" w:space="0" w:color="FFFFFF"/>
              <w:left w:val="nil"/>
              <w:bottom w:val="nil"/>
              <w:right w:val="nil"/>
            </w:tcBorders>
            <w:shd w:val="clear" w:color="B4C6E7" w:fill="B4C6E7"/>
            <w:noWrap/>
            <w:vAlign w:val="bottom"/>
            <w:hideMark/>
          </w:tcPr>
          <w:p w14:paraId="5919281B" w14:textId="77777777" w:rsidR="00614875" w:rsidRPr="00481532" w:rsidRDefault="00614875" w:rsidP="00614875">
            <w:pPr>
              <w:spacing w:after="0" w:line="240" w:lineRule="auto"/>
              <w:rPr>
                <w:rFonts w:eastAsia="Times New Roman"/>
                <w:color w:val="000000"/>
                <w:szCs w:val="24"/>
                <w:lang w:val="en-CA" w:eastAsia="en-CA"/>
              </w:rPr>
            </w:pPr>
            <w:r w:rsidRPr="00481532">
              <w:rPr>
                <w:rFonts w:eastAsia="Times New Roman"/>
                <w:color w:val="000000"/>
                <w:szCs w:val="24"/>
                <w:lang w:val="en-CA" w:eastAsia="en-CA"/>
              </w:rPr>
              <w:t>Edmundston</w:t>
            </w:r>
          </w:p>
        </w:tc>
        <w:tc>
          <w:tcPr>
            <w:tcW w:w="1652" w:type="dxa"/>
            <w:tcBorders>
              <w:top w:val="single" w:sz="12" w:space="0" w:color="FFFFFF"/>
              <w:left w:val="single" w:sz="4" w:space="0" w:color="FFFFFF"/>
              <w:bottom w:val="nil"/>
              <w:right w:val="nil"/>
            </w:tcBorders>
            <w:shd w:val="clear" w:color="B4C6E7" w:fill="B4C6E7"/>
            <w:noWrap/>
            <w:vAlign w:val="bottom"/>
            <w:hideMark/>
          </w:tcPr>
          <w:p w14:paraId="35248972" w14:textId="77777777" w:rsidR="00614875" w:rsidRPr="00481532" w:rsidRDefault="00614875" w:rsidP="00614875">
            <w:pPr>
              <w:spacing w:after="0" w:line="240" w:lineRule="auto"/>
              <w:jc w:val="right"/>
              <w:rPr>
                <w:rFonts w:eastAsia="Times New Roman"/>
                <w:color w:val="000000"/>
                <w:szCs w:val="24"/>
                <w:lang w:val="en-CA" w:eastAsia="en-CA"/>
              </w:rPr>
            </w:pPr>
            <w:r w:rsidRPr="00481532">
              <w:rPr>
                <w:rFonts w:eastAsia="Times New Roman"/>
                <w:color w:val="000000"/>
                <w:szCs w:val="24"/>
                <w:lang w:val="en-CA" w:eastAsia="en-CA"/>
              </w:rPr>
              <w:t>67.6%</w:t>
            </w:r>
          </w:p>
        </w:tc>
        <w:tc>
          <w:tcPr>
            <w:tcW w:w="1649" w:type="dxa"/>
            <w:tcBorders>
              <w:top w:val="single" w:sz="12" w:space="0" w:color="FFFFFF"/>
              <w:left w:val="single" w:sz="4" w:space="0" w:color="FFFFFF"/>
              <w:bottom w:val="nil"/>
              <w:right w:val="nil"/>
            </w:tcBorders>
            <w:shd w:val="clear" w:color="B4C6E7" w:fill="B4C6E7"/>
            <w:noWrap/>
            <w:vAlign w:val="bottom"/>
            <w:hideMark/>
          </w:tcPr>
          <w:p w14:paraId="55B9BAFF" w14:textId="77777777" w:rsidR="00614875" w:rsidRPr="00481532" w:rsidRDefault="00614875" w:rsidP="00614875">
            <w:pPr>
              <w:spacing w:after="0" w:line="240" w:lineRule="auto"/>
              <w:jc w:val="right"/>
              <w:rPr>
                <w:rFonts w:eastAsia="Times New Roman"/>
                <w:color w:val="000000"/>
                <w:szCs w:val="24"/>
                <w:lang w:val="en-CA" w:eastAsia="en-CA"/>
              </w:rPr>
            </w:pPr>
            <w:r w:rsidRPr="00481532">
              <w:rPr>
                <w:rFonts w:eastAsia="Times New Roman"/>
                <w:color w:val="000000"/>
                <w:szCs w:val="24"/>
                <w:lang w:val="en-CA" w:eastAsia="en-CA"/>
              </w:rPr>
              <w:t>57.9%</w:t>
            </w:r>
          </w:p>
        </w:tc>
      </w:tr>
      <w:tr w:rsidR="00614875" w:rsidRPr="00481532" w14:paraId="5E07BB1E" w14:textId="77777777" w:rsidTr="00614875">
        <w:trPr>
          <w:trHeight w:val="290"/>
        </w:trPr>
        <w:tc>
          <w:tcPr>
            <w:tcW w:w="5797" w:type="dxa"/>
            <w:gridSpan w:val="3"/>
            <w:tcBorders>
              <w:top w:val="single" w:sz="8" w:space="0" w:color="BFBFBF"/>
              <w:left w:val="nil"/>
              <w:bottom w:val="nil"/>
              <w:right w:val="nil"/>
            </w:tcBorders>
            <w:shd w:val="clear" w:color="auto" w:fill="auto"/>
            <w:noWrap/>
            <w:vAlign w:val="center"/>
            <w:hideMark/>
          </w:tcPr>
          <w:p w14:paraId="44F74B12" w14:textId="77777777" w:rsidR="00614875" w:rsidRPr="00481532" w:rsidRDefault="00614875" w:rsidP="00614875">
            <w:pPr>
              <w:spacing w:after="0" w:line="240" w:lineRule="auto"/>
              <w:rPr>
                <w:rFonts w:eastAsia="Times New Roman"/>
                <w:color w:val="000000"/>
                <w:sz w:val="20"/>
                <w:szCs w:val="20"/>
                <w:lang w:val="en-CA" w:eastAsia="en-CA"/>
              </w:rPr>
            </w:pPr>
            <w:r w:rsidRPr="00481532">
              <w:rPr>
                <w:rFonts w:eastAsia="Times New Roman"/>
                <w:color w:val="000000"/>
                <w:sz w:val="20"/>
                <w:szCs w:val="20"/>
                <w:lang w:val="en-CA" w:eastAsia="en-CA"/>
              </w:rPr>
              <w:t>1. Elections NB</w:t>
            </w:r>
          </w:p>
        </w:tc>
      </w:tr>
    </w:tbl>
    <w:p w14:paraId="3BBF240D" w14:textId="69A255F9" w:rsidR="005C799D" w:rsidRDefault="00614875" w:rsidP="0010245C">
      <w:pPr>
        <w:jc w:val="both"/>
        <w:rPr>
          <w:rFonts w:eastAsia="Times New Roman"/>
          <w:color w:val="000000" w:themeColor="text1"/>
          <w:szCs w:val="24"/>
        </w:rPr>
      </w:pPr>
      <w:r>
        <w:rPr>
          <w:rFonts w:eastAsia="Times New Roman"/>
          <w:color w:val="000000" w:themeColor="text1"/>
          <w:szCs w:val="24"/>
        </w:rPr>
        <w:t xml:space="preserve"> </w:t>
      </w:r>
      <w:r w:rsidR="00CB1685">
        <w:rPr>
          <w:rFonts w:eastAsia="Times New Roman"/>
          <w:color w:val="000000" w:themeColor="text1"/>
          <w:szCs w:val="24"/>
        </w:rPr>
        <w:t xml:space="preserve">Incorporating the surrounding LSDs would increase the diversity of interests in the electorate, bring rural perspectives to an otherwise fairly urban electorate. These conflicting interests </w:t>
      </w:r>
      <w:r w:rsidR="00AB7CE3">
        <w:rPr>
          <w:rFonts w:eastAsia="Times New Roman"/>
          <w:color w:val="000000" w:themeColor="text1"/>
          <w:szCs w:val="24"/>
        </w:rPr>
        <w:t>incentivize</w:t>
      </w:r>
      <w:r w:rsidR="00CB1685">
        <w:rPr>
          <w:rFonts w:eastAsia="Times New Roman"/>
          <w:color w:val="000000" w:themeColor="text1"/>
          <w:szCs w:val="24"/>
        </w:rPr>
        <w:t xml:space="preserve"> voter </w:t>
      </w:r>
      <w:r w:rsidR="00B30570">
        <w:rPr>
          <w:rFonts w:eastAsia="Times New Roman"/>
          <w:color w:val="000000" w:themeColor="text1"/>
          <w:szCs w:val="24"/>
        </w:rPr>
        <w:t>participation and</w:t>
      </w:r>
      <w:r w:rsidR="00CB1685">
        <w:rPr>
          <w:rFonts w:eastAsia="Times New Roman"/>
          <w:color w:val="000000" w:themeColor="text1"/>
          <w:szCs w:val="24"/>
        </w:rPr>
        <w:t xml:space="preserve"> may prevent Edmundston’s participation rates from dropping to the level of other larger cities in the province. </w:t>
      </w:r>
      <w:r w:rsidR="00431ACD">
        <w:rPr>
          <w:rFonts w:eastAsia="Times New Roman"/>
          <w:color w:val="000000" w:themeColor="text1"/>
          <w:szCs w:val="24"/>
        </w:rPr>
        <w:t xml:space="preserve">Other jurisdictions such as Rural Communities which include formerly unincorporated areas </w:t>
      </w:r>
      <w:r w:rsidR="008A6795">
        <w:rPr>
          <w:rFonts w:eastAsia="Times New Roman"/>
          <w:color w:val="000000" w:themeColor="text1"/>
          <w:szCs w:val="24"/>
        </w:rPr>
        <w:t>demonstrate</w:t>
      </w:r>
      <w:r w:rsidR="00431ACD">
        <w:rPr>
          <w:rFonts w:eastAsia="Times New Roman"/>
          <w:color w:val="000000" w:themeColor="text1"/>
          <w:szCs w:val="24"/>
        </w:rPr>
        <w:t xml:space="preserve"> higher than average voter turnout. </w:t>
      </w:r>
      <w:r w:rsidR="00431ACD" w:rsidRPr="00226288">
        <w:rPr>
          <w:rFonts w:eastAsia="Times New Roman"/>
          <w:color w:val="000000" w:themeColor="text1"/>
          <w:szCs w:val="24"/>
        </w:rPr>
        <w:t xml:space="preserve">The average rate across all 7 communities was 55.42%, but the highest among the class, </w:t>
      </w:r>
      <w:proofErr w:type="spellStart"/>
      <w:r w:rsidR="00431ACD" w:rsidRPr="00226288">
        <w:rPr>
          <w:rFonts w:eastAsia="Times New Roman"/>
          <w:color w:val="000000" w:themeColor="text1"/>
          <w:szCs w:val="24"/>
        </w:rPr>
        <w:t>Kedgwick</w:t>
      </w:r>
      <w:proofErr w:type="spellEnd"/>
      <w:r w:rsidR="00431ACD" w:rsidRPr="00226288">
        <w:rPr>
          <w:rFonts w:eastAsia="Times New Roman"/>
          <w:color w:val="000000" w:themeColor="text1"/>
          <w:szCs w:val="24"/>
        </w:rPr>
        <w:t>, had a turnout rate of</w:t>
      </w:r>
      <w:r w:rsidR="00431ACD" w:rsidRPr="00226288">
        <w:rPr>
          <w:rFonts w:eastAsia="Times New Roman"/>
          <w:szCs w:val="24"/>
        </w:rPr>
        <w:t xml:space="preserve"> 73.69%!</w:t>
      </w:r>
      <w:r w:rsidR="00CB1685">
        <w:rPr>
          <w:rFonts w:eastAsia="Times New Roman"/>
          <w:color w:val="000000" w:themeColor="text1"/>
          <w:szCs w:val="24"/>
        </w:rPr>
        <w:t xml:space="preserve"> </w:t>
      </w:r>
      <w:r w:rsidR="00431ACD">
        <w:rPr>
          <w:rFonts w:eastAsia="Times New Roman"/>
          <w:color w:val="000000" w:themeColor="text1"/>
          <w:szCs w:val="24"/>
        </w:rPr>
        <w:t>To ensure that Edmundston continues to grow not only economically, but democratically, the same recommendations given to smaller communities are also rec</w:t>
      </w:r>
      <w:r w:rsidR="00275F78">
        <w:rPr>
          <w:rFonts w:eastAsia="Times New Roman"/>
          <w:color w:val="000000" w:themeColor="text1"/>
          <w:szCs w:val="24"/>
        </w:rPr>
        <w:t>ommended to the Edmundston area</w:t>
      </w:r>
    </w:p>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768AB3F5" w14:textId="3A616E47" w:rsidR="00226288" w:rsidRPr="00226288" w:rsidRDefault="0038365B" w:rsidP="0010245C">
      <w:pPr>
        <w:jc w:val="both"/>
      </w:pPr>
      <w:r>
        <w:t>Entity 2</w:t>
      </w:r>
      <w:r w:rsidR="00226288"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77FA70BB" w14:textId="507792B3" w:rsidR="0010245C" w:rsidRPr="009C1729" w:rsidRDefault="00226288" w:rsidP="0010245C">
      <w:pPr>
        <w:jc w:val="both"/>
        <w:rPr>
          <w:rFonts w:eastAsia="Times New Roman"/>
          <w:color w:val="000000"/>
          <w:sz w:val="20"/>
          <w:szCs w:val="20"/>
          <w:lang w:val="en-CA" w:eastAsia="en-CA"/>
        </w:rPr>
      </w:pPr>
      <w:r w:rsidRPr="00226288">
        <w:t xml:space="preserve">Because its population is </w:t>
      </w:r>
      <w:r w:rsidR="00275F78">
        <w:t>above</w:t>
      </w:r>
      <w:r w:rsidRPr="00226288">
        <w:t xml:space="preserve"> 10</w:t>
      </w:r>
      <w:r w:rsidR="00594A01">
        <w:t>,</w:t>
      </w:r>
      <w:r w:rsidRPr="00226288">
        <w:t xml:space="preserve">000, </w:t>
      </w:r>
      <w:r w:rsidR="0038365B">
        <w:t>Entity 2</w:t>
      </w:r>
      <w:r w:rsidR="00275F78">
        <w:t xml:space="preserve"> would qualify as a ‘Group B</w:t>
      </w:r>
      <w:r w:rsidRPr="00226288">
        <w:t>’ municipality</w:t>
      </w:r>
      <w:r w:rsidR="003011C3">
        <w:t xml:space="preserve">. </w:t>
      </w:r>
      <w:r w:rsidR="008E1ED1">
        <w:t xml:space="preserve">Entity </w:t>
      </w:r>
      <w:r w:rsidR="002920F6">
        <w:t>2</w:t>
      </w:r>
      <w:r w:rsidR="008E1ED1" w:rsidRPr="00AD5F5E">
        <w:rPr>
          <w:szCs w:val="24"/>
        </w:rPr>
        <w:t xml:space="preserve">’s assessment base per </w:t>
      </w:r>
      <w:r w:rsidR="008E1ED1" w:rsidRPr="00603F66">
        <w:rPr>
          <w:szCs w:val="24"/>
        </w:rPr>
        <w:t xml:space="preserve">capita would be lesser than the group average though, entitling the entity to an annual equalization </w:t>
      </w:r>
      <w:r w:rsidR="008E1ED1" w:rsidRPr="00870F47">
        <w:rPr>
          <w:szCs w:val="24"/>
        </w:rPr>
        <w:t xml:space="preserve">grant of </w:t>
      </w:r>
      <w:r w:rsidR="008A5F82" w:rsidRPr="00870F47">
        <w:rPr>
          <w:rFonts w:eastAsia="Times New Roman"/>
          <w:color w:val="000000"/>
          <w:szCs w:val="24"/>
          <w:lang w:val="en-CA" w:eastAsia="en-CA"/>
        </w:rPr>
        <w:t>$278,757</w:t>
      </w:r>
      <w:r w:rsidR="008E1ED1" w:rsidRPr="00870F47">
        <w:rPr>
          <w:szCs w:val="24"/>
        </w:rPr>
        <w:t>.</w:t>
      </w:r>
      <w:r w:rsidR="008E1ED1" w:rsidRPr="00603F66">
        <w:rPr>
          <w:szCs w:val="24"/>
        </w:rPr>
        <w:t xml:space="preserve"> </w:t>
      </w:r>
      <w:r w:rsidR="008D3AA0">
        <w:t xml:space="preserve">With the tax room transfer from the provincial government to municipal governments included in the proposed new framework, Entity 2’s assessment </w:t>
      </w:r>
      <w:r w:rsidR="008D3AA0" w:rsidRPr="009C1729">
        <w:rPr>
          <w:szCs w:val="24"/>
        </w:rPr>
        <w:t xml:space="preserve">base of </w:t>
      </w:r>
      <w:r w:rsidR="009C1729" w:rsidRPr="009C1729">
        <w:rPr>
          <w:rFonts w:eastAsia="Times New Roman"/>
          <w:color w:val="000000"/>
          <w:szCs w:val="24"/>
          <w:lang w:val="en-CA" w:eastAsia="en-CA"/>
        </w:rPr>
        <w:t>$1,558,040,300</w:t>
      </w:r>
      <w:r w:rsidR="009C1729">
        <w:rPr>
          <w:rFonts w:eastAsia="Times New Roman"/>
          <w:color w:val="000000"/>
          <w:sz w:val="20"/>
          <w:szCs w:val="20"/>
          <w:lang w:val="en-CA" w:eastAsia="en-CA"/>
        </w:rPr>
        <w:t xml:space="preserve"> </w:t>
      </w:r>
      <w:r w:rsidR="008D3AA0">
        <w:t xml:space="preserve">will be able to yield more revenue than it could </w:t>
      </w:r>
      <w:r w:rsidR="009C1729">
        <w:t>under the current local governance regime</w:t>
      </w:r>
      <w:r w:rsidR="008D3AA0">
        <w:t>. Equal Opportunity among municipalities remains a priority in the new framework, but the primary guarantor of said equality is now tax warrants rather than equalization payments.</w:t>
      </w:r>
    </w:p>
    <w:p w14:paraId="61B53BEF" w14:textId="378DAA36" w:rsidR="00226288" w:rsidRPr="00226288" w:rsidRDefault="00226288" w:rsidP="0010245C">
      <w:pPr>
        <w:jc w:val="both"/>
      </w:pPr>
      <w:r w:rsidRPr="00226288">
        <w:t xml:space="preserve">Of course, this tax room transfer does not necessitate that property tax rates will increase by $1.50 per $100 of valuation across </w:t>
      </w:r>
      <w:r w:rsidR="0038365B">
        <w:t xml:space="preserve">Entity </w:t>
      </w:r>
      <w:r w:rsidR="005A4A0C">
        <w:t>2</w:t>
      </w:r>
      <w:r w:rsidRPr="00226288">
        <w:t xml:space="preserve">, nor does it indicate that the entire municipality will operate with one uniform property tax rate. </w:t>
      </w:r>
      <w:r w:rsidRPr="00226288">
        <w:rPr>
          <w:rFonts w:eastAsia="Times New Roman"/>
          <w:szCs w:val="24"/>
        </w:rPr>
        <w:t xml:space="preserve">Because </w:t>
      </w:r>
      <w:r w:rsidR="0038365B">
        <w:rPr>
          <w:rFonts w:eastAsia="Times New Roman"/>
          <w:szCs w:val="24"/>
        </w:rPr>
        <w:t>Entity 2</w:t>
      </w:r>
      <w:r w:rsidRPr="00226288">
        <w:rPr>
          <w:rFonts w:eastAsia="Times New Roman"/>
          <w:szCs w:val="24"/>
        </w:rPr>
        <w:t xml:space="preserve"> would be composed of suburban and rural populations and since the level of local services may vary considerably within the same municipality, existing provisions regarding differentiated tax rates within the same municipality </w:t>
      </w:r>
      <w:r w:rsidRPr="00226288">
        <w:rPr>
          <w:rFonts w:eastAsia="Times New Roman"/>
          <w:szCs w:val="24"/>
        </w:rPr>
        <w:lastRenderedPageBreak/>
        <w:t>would need to be used. Residents within each municipality should be taxed for the level of services they receive.</w:t>
      </w:r>
      <w:r w:rsidRPr="00226288">
        <w:rPr>
          <w:rFonts w:eastAsia="Times New Roman"/>
          <w:szCs w:val="24"/>
          <w:vertAlign w:val="superscript"/>
        </w:rPr>
        <w:footnoteReference w:id="2"/>
      </w:r>
    </w:p>
    <w:p w14:paraId="00C93790" w14:textId="3B77D628" w:rsidR="00226288" w:rsidRPr="00226288" w:rsidRDefault="00226288" w:rsidP="00226288">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r w:rsidR="003011C3">
        <w:t xml:space="preserve">Edmundston currently has a single property tax rate, but if the proposed entity was created, Entity 2 could easily implement a two tiered property tax regime similar to Fredericton and Dieppe where those inside the urban area and those outside are charged substantially different rates.  </w:t>
      </w:r>
    </w:p>
    <w:p w14:paraId="42654CD4" w14:textId="25F4C648" w:rsidR="00226288" w:rsidRPr="00226288" w:rsidRDefault="00226288" w:rsidP="00226288">
      <w:r w:rsidRPr="00226288">
        <w:t xml:space="preserve">Overall, then, </w:t>
      </w:r>
      <w:r w:rsidR="0038365B">
        <w:t>Entity 2</w:t>
      </w:r>
      <w:r w:rsidRPr="00226288">
        <w:t xml:space="preserve"> would have a financial base appropriate to its size and population. With such a financial base, the municipal entity could be as ambitious or cautious in its service provision as its residents please. </w:t>
      </w:r>
    </w:p>
    <w:p w14:paraId="43413FBA" w14:textId="77777777" w:rsidR="00226288" w:rsidRPr="00226288" w:rsidRDefault="00226288" w:rsidP="00226288">
      <w:pPr>
        <w:rPr>
          <w:b/>
          <w:bCs/>
        </w:rPr>
      </w:pPr>
      <w:r w:rsidRPr="00226288">
        <w:rPr>
          <w:b/>
          <w:bCs/>
        </w:rPr>
        <w:t>Division of Municipal and Provincial Responsibilities</w:t>
      </w:r>
    </w:p>
    <w:p w14:paraId="3936984A" w14:textId="31F6F9B5" w:rsidR="00226288" w:rsidRPr="00226288" w:rsidRDefault="00226288" w:rsidP="00226288">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38365B">
        <w:rPr>
          <w:rFonts w:eastAsia="Times New Roman"/>
          <w:szCs w:val="24"/>
        </w:rPr>
        <w:t>Entity 2</w:t>
      </w:r>
      <w:r w:rsidRPr="00226288">
        <w:rPr>
          <w:rFonts w:eastAsia="Times New Roman"/>
          <w:szCs w:val="24"/>
        </w:rPr>
        <w:t xml:space="preserve">, and the tax rates of the entity would reflect this level of service. </w:t>
      </w:r>
    </w:p>
    <w:p w14:paraId="7E7D20ED" w14:textId="76631038" w:rsidR="00226288" w:rsidRPr="00226288" w:rsidRDefault="00226288" w:rsidP="00226288">
      <w:pPr>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15991C5E" w14:textId="51722795" w:rsidR="005F267E" w:rsidRPr="00226288" w:rsidRDefault="00BE6411" w:rsidP="005F267E">
      <w:pPr>
        <w:rPr>
          <w:rFonts w:eastAsia="Times New Roman"/>
          <w:szCs w:val="24"/>
        </w:rPr>
      </w:pPr>
      <w:r w:rsidRPr="00226288">
        <w:rPr>
          <w:noProof/>
          <w:lang w:val="en-CA" w:eastAsia="en-CA"/>
        </w:rPr>
        <w:lastRenderedPageBreak/>
        <w:drawing>
          <wp:anchor distT="0" distB="0" distL="114300" distR="114300" simplePos="0" relativeHeight="251660800" behindDoc="0" locked="0" layoutInCell="1" allowOverlap="1" wp14:anchorId="3A7594F1" wp14:editId="3B7E37FE">
            <wp:simplePos x="0" y="0"/>
            <wp:positionH relativeFrom="column">
              <wp:posOffset>2450295</wp:posOffset>
            </wp:positionH>
            <wp:positionV relativeFrom="paragraph">
              <wp:posOffset>-38134</wp:posOffset>
            </wp:positionV>
            <wp:extent cx="3495675" cy="3163570"/>
            <wp:effectExtent l="0" t="0" r="9525" b="0"/>
            <wp:wrapThrough wrapText="bothSides">
              <wp:wrapPolygon edited="0">
                <wp:start x="118" y="0"/>
                <wp:lineTo x="0" y="21461"/>
                <wp:lineTo x="21541" y="21461"/>
                <wp:lineTo x="21541" y="0"/>
                <wp:lineTo x="118"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868" t="-920" r="2641" b="2154"/>
                    <a:stretch/>
                  </pic:blipFill>
                  <pic:spPr bwMode="auto">
                    <a:xfrm>
                      <a:off x="0" y="0"/>
                      <a:ext cx="3495675" cy="316357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65B">
        <w:rPr>
          <w:rFonts w:eastAsia="Times New Roman"/>
          <w:szCs w:val="24"/>
        </w:rPr>
        <w:t>Entity 2</w:t>
      </w:r>
      <w:r w:rsidR="00226288" w:rsidRPr="00226288">
        <w:rPr>
          <w:rFonts w:eastAsia="Times New Roman"/>
          <w:szCs w:val="24"/>
        </w:rPr>
        <w:t xml:space="preserve"> would belong to </w:t>
      </w:r>
      <w:r w:rsidR="005F267E" w:rsidRPr="00226288">
        <w:rPr>
          <w:rFonts w:eastAsia="Times New Roman"/>
          <w:szCs w:val="24"/>
        </w:rPr>
        <w:t xml:space="preserve">RSD </w:t>
      </w:r>
      <w:r w:rsidR="005F267E">
        <w:rPr>
          <w:rFonts w:eastAsia="Times New Roman"/>
          <w:szCs w:val="24"/>
        </w:rPr>
        <w:t>1</w:t>
      </w:r>
      <w:r w:rsidR="005F267E" w:rsidRPr="00226288">
        <w:rPr>
          <w:rFonts w:eastAsia="Times New Roman"/>
          <w:szCs w:val="24"/>
        </w:rPr>
        <w:t xml:space="preserve"> along with its </w:t>
      </w:r>
      <w:proofErr w:type="spellStart"/>
      <w:r w:rsidR="005F267E" w:rsidRPr="00226288">
        <w:rPr>
          <w:rFonts w:eastAsia="Times New Roman"/>
          <w:szCs w:val="24"/>
        </w:rPr>
        <w:t>neighbours</w:t>
      </w:r>
      <w:proofErr w:type="spellEnd"/>
      <w:r w:rsidR="005F267E" w:rsidRPr="00226288">
        <w:rPr>
          <w:rFonts w:eastAsia="Times New Roman"/>
          <w:szCs w:val="24"/>
        </w:rPr>
        <w:t xml:space="preserve"> Entities </w:t>
      </w:r>
      <w:r w:rsidR="005F267E">
        <w:rPr>
          <w:rFonts w:eastAsia="Times New Roman"/>
          <w:szCs w:val="24"/>
        </w:rPr>
        <w:t>1 to 6, covering Madawaska, Victoria</w:t>
      </w:r>
      <w:r w:rsidR="00354CC1">
        <w:rPr>
          <w:rFonts w:eastAsia="Times New Roman"/>
          <w:szCs w:val="24"/>
        </w:rPr>
        <w:t>,</w:t>
      </w:r>
      <w:r w:rsidR="005F267E">
        <w:rPr>
          <w:rFonts w:eastAsia="Times New Roman"/>
          <w:szCs w:val="24"/>
        </w:rPr>
        <w:t xml:space="preserve"> and a portion of Restigouche county</w:t>
      </w:r>
      <w:r w:rsidR="005F267E" w:rsidRPr="00226288">
        <w:rPr>
          <w:rFonts w:eastAsia="Times New Roman"/>
          <w:szCs w:val="24"/>
        </w:rPr>
        <w:t xml:space="preserve">. As with each municipal entity, RSDs could conceivably be named, but this would be left to each community to determine for itself. All </w:t>
      </w:r>
      <w:r w:rsidR="005F267E">
        <w:rPr>
          <w:rFonts w:eastAsia="Times New Roman"/>
          <w:szCs w:val="24"/>
        </w:rPr>
        <w:t>6</w:t>
      </w:r>
      <w:r w:rsidR="005F267E" w:rsidRPr="00226288">
        <w:rPr>
          <w:rFonts w:eastAsia="Times New Roman"/>
          <w:szCs w:val="24"/>
        </w:rPr>
        <w:t xml:space="preserve"> entities would b</w:t>
      </w:r>
      <w:r w:rsidR="005F267E">
        <w:rPr>
          <w:rFonts w:eastAsia="Times New Roman"/>
          <w:szCs w:val="24"/>
        </w:rPr>
        <w:t xml:space="preserve">e </w:t>
      </w:r>
      <w:r w:rsidR="005F267E" w:rsidRPr="00226288">
        <w:rPr>
          <w:rFonts w:eastAsia="Times New Roman"/>
          <w:szCs w:val="24"/>
        </w:rPr>
        <w:t xml:space="preserve">partners in the provision of regional services, with each contributing in accordance with their respective demographic and tax bases. </w:t>
      </w:r>
    </w:p>
    <w:p w14:paraId="2DE1FC98" w14:textId="77777777" w:rsidR="005F267E" w:rsidRDefault="005F267E" w:rsidP="005F267E">
      <w:pPr>
        <w:rPr>
          <w:rFonts w:eastAsia="Times New Roman"/>
          <w:szCs w:val="24"/>
        </w:rPr>
      </w:pPr>
      <w:r w:rsidRPr="00226288">
        <w:rPr>
          <w:rFonts w:eastAsia="Times New Roman"/>
          <w:szCs w:val="24"/>
        </w:rPr>
        <w:t>While this region is far too large to be incorporated into a single municipality, the populations nonetheless have a great deal of shared experiences and challenges</w:t>
      </w:r>
      <w:r>
        <w:rPr>
          <w:rFonts w:eastAsia="Times New Roman"/>
          <w:szCs w:val="24"/>
        </w:rPr>
        <w:t xml:space="preserve">. </w:t>
      </w:r>
    </w:p>
    <w:p w14:paraId="51A420C5" w14:textId="4F3827A6" w:rsidR="005F267E" w:rsidRDefault="005F267E" w:rsidP="005F267E">
      <w:pPr>
        <w:rPr>
          <w:rFonts w:eastAsia="Times New Roman"/>
          <w:szCs w:val="24"/>
        </w:rPr>
      </w:pPr>
      <w:r>
        <w:rPr>
          <w:rFonts w:eastAsia="Times New Roman"/>
          <w:szCs w:val="24"/>
        </w:rPr>
        <w:t xml:space="preserve">The commuting population of RSD 1 is relatively evenly split between those who commute to work within their own community (46%) and those who commute to a different community within the same county (40%). Furthermore, 10% of the population commute to a different county entirely. The proposed entities with the highest proportion of their commuting populations travelling to different counties are Entities 3 &amp; 4, indicating that the Madawaska and Victoria counties are particularly suited to collaborative economic planning. </w:t>
      </w:r>
    </w:p>
    <w:p w14:paraId="035C75A3" w14:textId="3855E36C" w:rsidR="002F62E8" w:rsidRDefault="003011C3" w:rsidP="005F267E">
      <w:pPr>
        <w:rPr>
          <w:rFonts w:eastAsia="Times New Roman"/>
          <w:szCs w:val="24"/>
        </w:rPr>
      </w:pPr>
      <w:r>
        <w:rPr>
          <w:rFonts w:eastAsia="Times New Roman"/>
          <w:szCs w:val="24"/>
        </w:rPr>
        <w:t xml:space="preserve">While 70% of Entity 2’s own commuters work within their own communities, the area is nonetheless dependent on the region’s economic interconnection. Accordingly, the residents of Entity 2 would benefit from </w:t>
      </w:r>
      <w:r w:rsidR="002F62E8">
        <w:rPr>
          <w:rFonts w:eastAsia="Times New Roman"/>
          <w:szCs w:val="24"/>
        </w:rPr>
        <w:t>collaboration in land use planning an</w:t>
      </w:r>
      <w:r>
        <w:rPr>
          <w:rFonts w:eastAsia="Times New Roman"/>
          <w:szCs w:val="24"/>
        </w:rPr>
        <w:t xml:space="preserve">d economic development policy as much as those in the RSD’s other five municipal partners. </w:t>
      </w:r>
      <w:r w:rsidR="00354CC1">
        <w:rPr>
          <w:rFonts w:eastAsia="Times New Roman"/>
          <w:szCs w:val="24"/>
        </w:rPr>
        <w:t xml:space="preserve">It is clear, therefore, that economic hubs such as Edmundston and Grand Falls are important sources of employment for the region as a whole, and such economic interconnection requires collaboration in land use planning and economic development policy.  </w:t>
      </w:r>
    </w:p>
    <w:p w14:paraId="7BEFB9DD" w14:textId="77777777" w:rsidR="00226288" w:rsidRPr="00226288" w:rsidRDefault="00226288" w:rsidP="00226288">
      <w:pPr>
        <w:rPr>
          <w:rFonts w:eastAsia="Times New Roman"/>
          <w:szCs w:val="24"/>
        </w:rPr>
      </w:pPr>
      <w:r w:rsidRPr="00226288">
        <w:rPr>
          <w:rFonts w:eastAsia="Times New Roman"/>
          <w:szCs w:val="24"/>
        </w:rPr>
        <w:t xml:space="preserve">The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00D1D6DB" w:rsidR="00226288" w:rsidRPr="00226288" w:rsidRDefault="00226288" w:rsidP="00226288">
      <w:pPr>
        <w:rPr>
          <w:rFonts w:eastAsia="Times New Roman"/>
          <w:szCs w:val="24"/>
        </w:rPr>
      </w:pPr>
      <w:r w:rsidRPr="00226288">
        <w:rPr>
          <w:rFonts w:eastAsia="Times New Roman"/>
          <w:szCs w:val="24"/>
        </w:rPr>
        <w:t xml:space="preserve">Overall, </w:t>
      </w:r>
      <w:r w:rsidR="0038365B">
        <w:rPr>
          <w:rFonts w:eastAsia="Times New Roman"/>
          <w:szCs w:val="24"/>
        </w:rPr>
        <w:t>Entity 2</w:t>
      </w:r>
      <w:r w:rsidRPr="00226288">
        <w:rPr>
          <w:rFonts w:eastAsia="Times New Roman"/>
          <w:szCs w:val="24"/>
        </w:rPr>
        <w:t xml:space="preserve"> would allow</w:t>
      </w:r>
      <w:r w:rsidR="00B7543D">
        <w:rPr>
          <w:rFonts w:eastAsia="Times New Roman"/>
          <w:szCs w:val="24"/>
        </w:rPr>
        <w:t xml:space="preserve"> its</w:t>
      </w:r>
      <w:r w:rsidRPr="00226288">
        <w:rPr>
          <w:rFonts w:eastAsia="Times New Roman"/>
          <w:szCs w:val="24"/>
        </w:rPr>
        <w:t xml:space="preserve"> residents to enjoy a comparable level of service in correlation with their level of taxation, to feel represented at a local level and have a real say in how their </w:t>
      </w:r>
      <w:r w:rsidRPr="00226288">
        <w:rPr>
          <w:rFonts w:eastAsia="Times New Roman"/>
          <w:szCs w:val="24"/>
        </w:rPr>
        <w:lastRenderedPageBreak/>
        <w:t>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p w14:paraId="72B43E59" w14:textId="77777777" w:rsidR="00D3335A" w:rsidRDefault="003D337D" w:rsidP="00E16335">
      <w:pPr>
        <w:rPr>
          <w:szCs w:val="24"/>
        </w:rPr>
        <w:sectPr w:rsidR="00D3335A">
          <w:headerReference w:type="default" r:id="rId10"/>
          <w:pgSz w:w="12240" w:h="15840"/>
          <w:pgMar w:top="1440" w:right="1440" w:bottom="1440" w:left="1440" w:header="720" w:footer="720" w:gutter="0"/>
          <w:cols w:space="720"/>
          <w:docGrid w:linePitch="360"/>
        </w:sectPr>
      </w:pPr>
      <w:r>
        <w:rPr>
          <w:szCs w:val="24"/>
        </w:rPr>
        <w:br w:type="page"/>
      </w:r>
    </w:p>
    <w:tbl>
      <w:tblPr>
        <w:tblW w:w="12057" w:type="dxa"/>
        <w:tblLook w:val="04A0" w:firstRow="1" w:lastRow="0" w:firstColumn="1" w:lastColumn="0" w:noHBand="0" w:noVBand="1"/>
      </w:tblPr>
      <w:tblGrid>
        <w:gridCol w:w="1434"/>
        <w:gridCol w:w="814"/>
        <w:gridCol w:w="1466"/>
        <w:gridCol w:w="1369"/>
        <w:gridCol w:w="1466"/>
        <w:gridCol w:w="1150"/>
        <w:gridCol w:w="1150"/>
        <w:gridCol w:w="895"/>
        <w:gridCol w:w="1328"/>
        <w:gridCol w:w="1428"/>
      </w:tblGrid>
      <w:tr w:rsidR="0054527A" w:rsidRPr="0054527A" w14:paraId="37683CA2" w14:textId="77777777" w:rsidTr="0054527A">
        <w:trPr>
          <w:trHeight w:val="290"/>
        </w:trPr>
        <w:tc>
          <w:tcPr>
            <w:tcW w:w="12057" w:type="dxa"/>
            <w:gridSpan w:val="10"/>
            <w:tcBorders>
              <w:top w:val="nil"/>
              <w:left w:val="nil"/>
              <w:bottom w:val="nil"/>
              <w:right w:val="nil"/>
            </w:tcBorders>
            <w:shd w:val="clear" w:color="auto" w:fill="auto"/>
            <w:noWrap/>
            <w:vAlign w:val="bottom"/>
            <w:hideMark/>
          </w:tcPr>
          <w:p w14:paraId="600EEB5D" w14:textId="77777777" w:rsidR="0054527A" w:rsidRPr="0054527A" w:rsidRDefault="0054527A" w:rsidP="0054527A">
            <w:pPr>
              <w:spacing w:after="0" w:line="240" w:lineRule="auto"/>
              <w:rPr>
                <w:rFonts w:eastAsia="Times New Roman"/>
                <w:b/>
                <w:bCs/>
                <w:sz w:val="20"/>
                <w:szCs w:val="20"/>
                <w:lang w:val="en-CA" w:eastAsia="en-CA"/>
              </w:rPr>
            </w:pPr>
            <w:r w:rsidRPr="0054527A">
              <w:rPr>
                <w:rFonts w:eastAsia="Times New Roman"/>
                <w:b/>
                <w:bCs/>
                <w:sz w:val="20"/>
                <w:szCs w:val="20"/>
                <w:lang w:val="en-CA" w:eastAsia="en-CA"/>
              </w:rPr>
              <w:lastRenderedPageBreak/>
              <w:t>Entity 2 : Regional Service District 1</w:t>
            </w:r>
          </w:p>
        </w:tc>
      </w:tr>
      <w:tr w:rsidR="0054527A" w:rsidRPr="0054527A" w14:paraId="14592230" w14:textId="77777777" w:rsidTr="0054527A">
        <w:trPr>
          <w:trHeight w:val="1090"/>
        </w:trPr>
        <w:tc>
          <w:tcPr>
            <w:tcW w:w="1434" w:type="dxa"/>
            <w:tcBorders>
              <w:top w:val="nil"/>
              <w:left w:val="nil"/>
              <w:bottom w:val="nil"/>
              <w:right w:val="nil"/>
            </w:tcBorders>
            <w:shd w:val="clear" w:color="4472C4" w:fill="4472C4"/>
            <w:hideMark/>
          </w:tcPr>
          <w:p w14:paraId="34EAD145" w14:textId="77777777" w:rsidR="0054527A" w:rsidRPr="0054527A" w:rsidRDefault="0054527A" w:rsidP="0054527A">
            <w:pPr>
              <w:spacing w:after="0" w:line="240" w:lineRule="auto"/>
              <w:jc w:val="center"/>
              <w:rPr>
                <w:rFonts w:eastAsia="Times New Roman"/>
                <w:b/>
                <w:bCs/>
                <w:color w:val="000000"/>
                <w:sz w:val="20"/>
                <w:szCs w:val="20"/>
                <w:lang w:val="en-CA" w:eastAsia="en-CA"/>
              </w:rPr>
            </w:pPr>
            <w:r w:rsidRPr="0054527A">
              <w:rPr>
                <w:rFonts w:eastAsia="Times New Roman"/>
                <w:b/>
                <w:bCs/>
                <w:color w:val="000000"/>
                <w:sz w:val="20"/>
                <w:szCs w:val="20"/>
                <w:lang w:val="en-CA" w:eastAsia="en-CA"/>
              </w:rPr>
              <w:t>Communities</w:t>
            </w:r>
          </w:p>
        </w:tc>
        <w:tc>
          <w:tcPr>
            <w:tcW w:w="814" w:type="dxa"/>
            <w:tcBorders>
              <w:top w:val="nil"/>
              <w:left w:val="single" w:sz="4" w:space="0" w:color="FFFFFF"/>
              <w:bottom w:val="nil"/>
              <w:right w:val="nil"/>
            </w:tcBorders>
            <w:shd w:val="clear" w:color="4472C4" w:fill="4472C4"/>
            <w:hideMark/>
          </w:tcPr>
          <w:p w14:paraId="2F6B034F" w14:textId="77777777" w:rsidR="0054527A" w:rsidRPr="0054527A" w:rsidRDefault="0054527A" w:rsidP="0054527A">
            <w:pPr>
              <w:spacing w:after="0" w:line="240" w:lineRule="auto"/>
              <w:jc w:val="center"/>
              <w:rPr>
                <w:rFonts w:eastAsia="Times New Roman"/>
                <w:b/>
                <w:bCs/>
                <w:color w:val="000000"/>
                <w:sz w:val="20"/>
                <w:szCs w:val="20"/>
                <w:lang w:val="en-CA" w:eastAsia="en-CA"/>
              </w:rPr>
            </w:pPr>
            <w:r w:rsidRPr="0054527A">
              <w:rPr>
                <w:rFonts w:eastAsia="Times New Roman"/>
                <w:b/>
                <w:bCs/>
                <w:color w:val="000000"/>
                <w:sz w:val="20"/>
                <w:szCs w:val="20"/>
                <w:lang w:val="en-CA" w:eastAsia="en-CA"/>
              </w:rPr>
              <w:t>Entity Type</w:t>
            </w:r>
          </w:p>
        </w:tc>
        <w:tc>
          <w:tcPr>
            <w:tcW w:w="1450" w:type="dxa"/>
            <w:tcBorders>
              <w:top w:val="nil"/>
              <w:left w:val="single" w:sz="4" w:space="0" w:color="FFFFFF"/>
              <w:bottom w:val="nil"/>
              <w:right w:val="nil"/>
            </w:tcBorders>
            <w:shd w:val="clear" w:color="4472C4" w:fill="4472C4"/>
            <w:hideMark/>
          </w:tcPr>
          <w:p w14:paraId="376AACDD" w14:textId="77777777" w:rsidR="0054527A" w:rsidRPr="0054527A" w:rsidRDefault="0054527A" w:rsidP="0054527A">
            <w:pPr>
              <w:spacing w:after="0" w:line="240" w:lineRule="auto"/>
              <w:jc w:val="center"/>
              <w:rPr>
                <w:rFonts w:eastAsia="Times New Roman"/>
                <w:b/>
                <w:bCs/>
                <w:color w:val="000000"/>
                <w:sz w:val="20"/>
                <w:szCs w:val="20"/>
                <w:lang w:val="en-CA" w:eastAsia="en-CA"/>
              </w:rPr>
            </w:pPr>
            <w:r w:rsidRPr="0054527A">
              <w:rPr>
                <w:rFonts w:eastAsia="Times New Roman"/>
                <w:b/>
                <w:bCs/>
                <w:color w:val="000000"/>
                <w:sz w:val="20"/>
                <w:szCs w:val="20"/>
                <w:lang w:val="en-CA" w:eastAsia="en-CA"/>
              </w:rPr>
              <w:t>2020 Residential Property Assessment</w:t>
            </w:r>
            <w:r w:rsidRPr="0054527A">
              <w:rPr>
                <w:rFonts w:eastAsia="Times New Roman"/>
                <w:b/>
                <w:bCs/>
                <w:color w:val="000000"/>
                <w:sz w:val="20"/>
                <w:szCs w:val="20"/>
                <w:vertAlign w:val="superscript"/>
                <w:lang w:val="en-CA" w:eastAsia="en-CA"/>
              </w:rPr>
              <w:t>1</w:t>
            </w:r>
          </w:p>
        </w:tc>
        <w:tc>
          <w:tcPr>
            <w:tcW w:w="1369" w:type="dxa"/>
            <w:tcBorders>
              <w:top w:val="nil"/>
              <w:left w:val="single" w:sz="4" w:space="0" w:color="FFFFFF"/>
              <w:bottom w:val="nil"/>
              <w:right w:val="nil"/>
            </w:tcBorders>
            <w:shd w:val="clear" w:color="4472C4" w:fill="4472C4"/>
            <w:hideMark/>
          </w:tcPr>
          <w:p w14:paraId="127678D9" w14:textId="77777777" w:rsidR="0054527A" w:rsidRPr="0054527A" w:rsidRDefault="0054527A" w:rsidP="0054527A">
            <w:pPr>
              <w:spacing w:after="0" w:line="240" w:lineRule="auto"/>
              <w:jc w:val="center"/>
              <w:rPr>
                <w:rFonts w:eastAsia="Times New Roman"/>
                <w:b/>
                <w:bCs/>
                <w:color w:val="000000"/>
                <w:sz w:val="20"/>
                <w:szCs w:val="20"/>
                <w:lang w:val="en-CA" w:eastAsia="en-CA"/>
              </w:rPr>
            </w:pPr>
            <w:r w:rsidRPr="0054527A">
              <w:rPr>
                <w:rFonts w:eastAsia="Times New Roman"/>
                <w:b/>
                <w:bCs/>
                <w:color w:val="000000"/>
                <w:sz w:val="20"/>
                <w:szCs w:val="20"/>
                <w:lang w:val="en-CA" w:eastAsia="en-CA"/>
              </w:rPr>
              <w:t>2020 Non-Residential Property Assessment</w:t>
            </w:r>
          </w:p>
        </w:tc>
        <w:tc>
          <w:tcPr>
            <w:tcW w:w="1407" w:type="dxa"/>
            <w:tcBorders>
              <w:top w:val="nil"/>
              <w:left w:val="single" w:sz="4" w:space="0" w:color="FFFFFF"/>
              <w:bottom w:val="nil"/>
              <w:right w:val="nil"/>
            </w:tcBorders>
            <w:shd w:val="clear" w:color="4472C4" w:fill="4472C4"/>
            <w:hideMark/>
          </w:tcPr>
          <w:p w14:paraId="6606D926" w14:textId="77777777" w:rsidR="0054527A" w:rsidRPr="0054527A" w:rsidRDefault="0054527A" w:rsidP="0054527A">
            <w:pPr>
              <w:spacing w:after="0" w:line="240" w:lineRule="auto"/>
              <w:jc w:val="center"/>
              <w:rPr>
                <w:rFonts w:eastAsia="Times New Roman"/>
                <w:b/>
                <w:bCs/>
                <w:color w:val="000000"/>
                <w:sz w:val="20"/>
                <w:szCs w:val="20"/>
                <w:lang w:val="en-CA" w:eastAsia="en-CA"/>
              </w:rPr>
            </w:pPr>
            <w:r w:rsidRPr="0054527A">
              <w:rPr>
                <w:rFonts w:eastAsia="Times New Roman"/>
                <w:b/>
                <w:bCs/>
                <w:color w:val="000000"/>
                <w:sz w:val="20"/>
                <w:szCs w:val="20"/>
                <w:lang w:val="en-CA" w:eastAsia="en-CA"/>
              </w:rPr>
              <w:t>2020 Total Assessment Base</w:t>
            </w:r>
          </w:p>
        </w:tc>
        <w:tc>
          <w:tcPr>
            <w:tcW w:w="1030" w:type="dxa"/>
            <w:tcBorders>
              <w:top w:val="nil"/>
              <w:left w:val="single" w:sz="4" w:space="0" w:color="FFFFFF"/>
              <w:bottom w:val="nil"/>
              <w:right w:val="nil"/>
            </w:tcBorders>
            <w:shd w:val="clear" w:color="4472C4" w:fill="4472C4"/>
            <w:hideMark/>
          </w:tcPr>
          <w:p w14:paraId="2FC5691D" w14:textId="77777777" w:rsidR="0054527A" w:rsidRPr="0054527A" w:rsidRDefault="0054527A" w:rsidP="0054527A">
            <w:pPr>
              <w:spacing w:after="0" w:line="240" w:lineRule="auto"/>
              <w:jc w:val="center"/>
              <w:rPr>
                <w:rFonts w:eastAsia="Times New Roman"/>
                <w:b/>
                <w:bCs/>
                <w:color w:val="000000"/>
                <w:sz w:val="20"/>
                <w:szCs w:val="20"/>
                <w:lang w:val="en-CA" w:eastAsia="en-CA"/>
              </w:rPr>
            </w:pPr>
            <w:r w:rsidRPr="0054527A">
              <w:rPr>
                <w:rFonts w:eastAsia="Times New Roman"/>
                <w:b/>
                <w:bCs/>
                <w:color w:val="000000"/>
                <w:sz w:val="20"/>
                <w:szCs w:val="20"/>
                <w:lang w:val="en-CA" w:eastAsia="en-CA"/>
              </w:rPr>
              <w:t>Population 2016</w:t>
            </w:r>
            <w:r w:rsidRPr="0054527A">
              <w:rPr>
                <w:rFonts w:eastAsia="Times New Roman"/>
                <w:b/>
                <w:bCs/>
                <w:color w:val="000000"/>
                <w:sz w:val="20"/>
                <w:szCs w:val="20"/>
                <w:vertAlign w:val="superscript"/>
                <w:lang w:val="en-CA" w:eastAsia="en-CA"/>
              </w:rPr>
              <w:t>2</w:t>
            </w:r>
          </w:p>
        </w:tc>
        <w:tc>
          <w:tcPr>
            <w:tcW w:w="1030" w:type="dxa"/>
            <w:tcBorders>
              <w:top w:val="nil"/>
              <w:left w:val="single" w:sz="4" w:space="0" w:color="FFFFFF"/>
              <w:bottom w:val="nil"/>
              <w:right w:val="nil"/>
            </w:tcBorders>
            <w:shd w:val="clear" w:color="4472C4" w:fill="4472C4"/>
            <w:hideMark/>
          </w:tcPr>
          <w:p w14:paraId="435E3D00" w14:textId="77777777" w:rsidR="0054527A" w:rsidRPr="0054527A" w:rsidRDefault="0054527A" w:rsidP="0054527A">
            <w:pPr>
              <w:spacing w:after="0" w:line="240" w:lineRule="auto"/>
              <w:jc w:val="center"/>
              <w:rPr>
                <w:rFonts w:eastAsia="Times New Roman"/>
                <w:b/>
                <w:bCs/>
                <w:color w:val="000000"/>
                <w:sz w:val="20"/>
                <w:szCs w:val="20"/>
                <w:lang w:val="en-CA" w:eastAsia="en-CA"/>
              </w:rPr>
            </w:pPr>
            <w:r w:rsidRPr="0054527A">
              <w:rPr>
                <w:rFonts w:eastAsia="Times New Roman"/>
                <w:b/>
                <w:bCs/>
                <w:color w:val="000000"/>
                <w:sz w:val="20"/>
                <w:szCs w:val="20"/>
                <w:lang w:val="en-CA" w:eastAsia="en-CA"/>
              </w:rPr>
              <w:t>Population 2011</w:t>
            </w:r>
          </w:p>
        </w:tc>
        <w:tc>
          <w:tcPr>
            <w:tcW w:w="895" w:type="dxa"/>
            <w:tcBorders>
              <w:top w:val="nil"/>
              <w:left w:val="single" w:sz="4" w:space="0" w:color="FFFFFF"/>
              <w:bottom w:val="nil"/>
              <w:right w:val="nil"/>
            </w:tcBorders>
            <w:shd w:val="clear" w:color="4472C4" w:fill="4472C4"/>
            <w:hideMark/>
          </w:tcPr>
          <w:p w14:paraId="1156FD13" w14:textId="77777777" w:rsidR="0054527A" w:rsidRPr="0054527A" w:rsidRDefault="0054527A" w:rsidP="0054527A">
            <w:pPr>
              <w:spacing w:after="0" w:line="240" w:lineRule="auto"/>
              <w:jc w:val="center"/>
              <w:rPr>
                <w:rFonts w:eastAsia="Times New Roman"/>
                <w:b/>
                <w:bCs/>
                <w:color w:val="000000"/>
                <w:sz w:val="20"/>
                <w:szCs w:val="20"/>
                <w:lang w:val="en-CA" w:eastAsia="en-CA"/>
              </w:rPr>
            </w:pPr>
            <w:r w:rsidRPr="0054527A">
              <w:rPr>
                <w:rFonts w:eastAsia="Times New Roman"/>
                <w:b/>
                <w:bCs/>
                <w:color w:val="000000"/>
                <w:sz w:val="20"/>
                <w:szCs w:val="20"/>
                <w:lang w:val="en-CA" w:eastAsia="en-CA"/>
              </w:rPr>
              <w:t>% Change</w:t>
            </w:r>
          </w:p>
        </w:tc>
        <w:tc>
          <w:tcPr>
            <w:tcW w:w="1256" w:type="dxa"/>
            <w:tcBorders>
              <w:top w:val="nil"/>
              <w:left w:val="single" w:sz="4" w:space="0" w:color="FFFFFF"/>
              <w:bottom w:val="nil"/>
              <w:right w:val="nil"/>
            </w:tcBorders>
            <w:shd w:val="clear" w:color="4472C4" w:fill="4472C4"/>
            <w:hideMark/>
          </w:tcPr>
          <w:p w14:paraId="51376DBC" w14:textId="77777777" w:rsidR="0054527A" w:rsidRPr="0054527A" w:rsidRDefault="0054527A" w:rsidP="0054527A">
            <w:pPr>
              <w:spacing w:after="0" w:line="240" w:lineRule="auto"/>
              <w:jc w:val="center"/>
              <w:rPr>
                <w:rFonts w:eastAsia="Times New Roman"/>
                <w:b/>
                <w:bCs/>
                <w:color w:val="000000"/>
                <w:sz w:val="20"/>
                <w:szCs w:val="20"/>
                <w:lang w:val="en-CA" w:eastAsia="en-CA"/>
              </w:rPr>
            </w:pPr>
            <w:r w:rsidRPr="0054527A">
              <w:rPr>
                <w:rFonts w:eastAsia="Times New Roman"/>
                <w:b/>
                <w:bCs/>
                <w:color w:val="000000"/>
                <w:sz w:val="20"/>
                <w:szCs w:val="20"/>
                <w:lang w:val="en-CA" w:eastAsia="en-CA"/>
              </w:rPr>
              <w:t>Anglophones</w:t>
            </w:r>
          </w:p>
        </w:tc>
        <w:tc>
          <w:tcPr>
            <w:tcW w:w="1372" w:type="dxa"/>
            <w:tcBorders>
              <w:top w:val="nil"/>
              <w:left w:val="single" w:sz="4" w:space="0" w:color="FFFFFF"/>
              <w:bottom w:val="nil"/>
              <w:right w:val="nil"/>
            </w:tcBorders>
            <w:shd w:val="clear" w:color="4472C4" w:fill="4472C4"/>
            <w:hideMark/>
          </w:tcPr>
          <w:p w14:paraId="5679A91A" w14:textId="77777777" w:rsidR="0054527A" w:rsidRPr="0054527A" w:rsidRDefault="0054527A" w:rsidP="0054527A">
            <w:pPr>
              <w:spacing w:after="0" w:line="240" w:lineRule="auto"/>
              <w:jc w:val="center"/>
              <w:rPr>
                <w:rFonts w:eastAsia="Times New Roman"/>
                <w:b/>
                <w:bCs/>
                <w:color w:val="000000"/>
                <w:sz w:val="20"/>
                <w:szCs w:val="20"/>
                <w:lang w:val="en-CA" w:eastAsia="en-CA"/>
              </w:rPr>
            </w:pPr>
            <w:r w:rsidRPr="0054527A">
              <w:rPr>
                <w:rFonts w:eastAsia="Times New Roman"/>
                <w:b/>
                <w:bCs/>
                <w:color w:val="000000"/>
                <w:sz w:val="20"/>
                <w:szCs w:val="20"/>
                <w:lang w:val="en-CA" w:eastAsia="en-CA"/>
              </w:rPr>
              <w:t>Francophones</w:t>
            </w:r>
          </w:p>
        </w:tc>
      </w:tr>
      <w:tr w:rsidR="0054527A" w:rsidRPr="0054527A" w14:paraId="2AF0DF63" w14:textId="77777777" w:rsidTr="0054527A">
        <w:trPr>
          <w:trHeight w:val="300"/>
        </w:trPr>
        <w:tc>
          <w:tcPr>
            <w:tcW w:w="1434" w:type="dxa"/>
            <w:tcBorders>
              <w:top w:val="single" w:sz="12" w:space="0" w:color="FFFFFF"/>
              <w:left w:val="nil"/>
              <w:bottom w:val="nil"/>
              <w:right w:val="nil"/>
            </w:tcBorders>
            <w:shd w:val="clear" w:color="B4C6E7" w:fill="B4C6E7"/>
            <w:noWrap/>
            <w:vAlign w:val="bottom"/>
            <w:hideMark/>
          </w:tcPr>
          <w:p w14:paraId="3A8159D0" w14:textId="77777777" w:rsidR="0054527A" w:rsidRPr="0054527A" w:rsidRDefault="0054527A" w:rsidP="0054527A">
            <w:pPr>
              <w:spacing w:after="0" w:line="240" w:lineRule="auto"/>
              <w:rPr>
                <w:rFonts w:eastAsia="Times New Roman"/>
                <w:color w:val="000000"/>
                <w:sz w:val="20"/>
                <w:szCs w:val="20"/>
                <w:lang w:val="en-CA" w:eastAsia="en-CA"/>
              </w:rPr>
            </w:pPr>
            <w:proofErr w:type="spellStart"/>
            <w:r w:rsidRPr="0054527A">
              <w:rPr>
                <w:rFonts w:eastAsia="Times New Roman"/>
                <w:color w:val="000000"/>
                <w:sz w:val="20"/>
                <w:szCs w:val="20"/>
                <w:lang w:val="en-CA" w:eastAsia="en-CA"/>
              </w:rPr>
              <w:t>Edmunston</w:t>
            </w:r>
            <w:proofErr w:type="spellEnd"/>
          </w:p>
        </w:tc>
        <w:tc>
          <w:tcPr>
            <w:tcW w:w="814" w:type="dxa"/>
            <w:tcBorders>
              <w:top w:val="single" w:sz="12" w:space="0" w:color="FFFFFF"/>
              <w:left w:val="single" w:sz="4" w:space="0" w:color="FFFFFF"/>
              <w:bottom w:val="nil"/>
              <w:right w:val="nil"/>
            </w:tcBorders>
            <w:shd w:val="clear" w:color="B4C6E7" w:fill="B4C6E7"/>
            <w:noWrap/>
            <w:vAlign w:val="bottom"/>
            <w:hideMark/>
          </w:tcPr>
          <w:p w14:paraId="0F5F5A41" w14:textId="77777777" w:rsidR="0054527A" w:rsidRPr="0054527A" w:rsidRDefault="0054527A" w:rsidP="0054527A">
            <w:pPr>
              <w:spacing w:after="0" w:line="240" w:lineRule="auto"/>
              <w:rPr>
                <w:rFonts w:eastAsia="Times New Roman"/>
                <w:color w:val="000000"/>
                <w:sz w:val="20"/>
                <w:szCs w:val="20"/>
                <w:lang w:val="en-CA" w:eastAsia="en-CA"/>
              </w:rPr>
            </w:pPr>
            <w:r w:rsidRPr="0054527A">
              <w:rPr>
                <w:rFonts w:eastAsia="Times New Roman"/>
                <w:color w:val="000000"/>
                <w:sz w:val="20"/>
                <w:szCs w:val="20"/>
                <w:lang w:val="en-CA" w:eastAsia="en-CA"/>
              </w:rPr>
              <w:t>City</w:t>
            </w:r>
          </w:p>
        </w:tc>
        <w:tc>
          <w:tcPr>
            <w:tcW w:w="1450" w:type="dxa"/>
            <w:tcBorders>
              <w:top w:val="single" w:sz="12" w:space="0" w:color="FFFFFF"/>
              <w:left w:val="single" w:sz="4" w:space="0" w:color="FFFFFF"/>
              <w:bottom w:val="nil"/>
              <w:right w:val="nil"/>
            </w:tcBorders>
            <w:shd w:val="clear" w:color="B4C6E7" w:fill="B4C6E7"/>
            <w:noWrap/>
            <w:vAlign w:val="bottom"/>
            <w:hideMark/>
          </w:tcPr>
          <w:p w14:paraId="58163359"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$1,102,055,500</w:t>
            </w:r>
          </w:p>
        </w:tc>
        <w:tc>
          <w:tcPr>
            <w:tcW w:w="1369" w:type="dxa"/>
            <w:tcBorders>
              <w:top w:val="single" w:sz="12" w:space="0" w:color="FFFFFF"/>
              <w:left w:val="single" w:sz="4" w:space="0" w:color="FFFFFF"/>
              <w:bottom w:val="nil"/>
              <w:right w:val="nil"/>
            </w:tcBorders>
            <w:shd w:val="clear" w:color="B4C6E7" w:fill="B4C6E7"/>
            <w:noWrap/>
            <w:vAlign w:val="bottom"/>
            <w:hideMark/>
          </w:tcPr>
          <w:p w14:paraId="66BCBEF6"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$232,484,800</w:t>
            </w:r>
          </w:p>
        </w:tc>
        <w:tc>
          <w:tcPr>
            <w:tcW w:w="1407" w:type="dxa"/>
            <w:tcBorders>
              <w:top w:val="single" w:sz="12" w:space="0" w:color="FFFFFF"/>
              <w:left w:val="single" w:sz="4" w:space="0" w:color="FFFFFF"/>
              <w:bottom w:val="nil"/>
              <w:right w:val="nil"/>
            </w:tcBorders>
            <w:shd w:val="clear" w:color="B4C6E7" w:fill="B4C6E7"/>
            <w:noWrap/>
            <w:vAlign w:val="bottom"/>
            <w:hideMark/>
          </w:tcPr>
          <w:p w14:paraId="71F6D734"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$1,334,540,300</w:t>
            </w:r>
          </w:p>
        </w:tc>
        <w:tc>
          <w:tcPr>
            <w:tcW w:w="1030" w:type="dxa"/>
            <w:tcBorders>
              <w:top w:val="single" w:sz="12" w:space="0" w:color="FFFFFF"/>
              <w:left w:val="single" w:sz="4" w:space="0" w:color="FFFFFF"/>
              <w:bottom w:val="nil"/>
              <w:right w:val="nil"/>
            </w:tcBorders>
            <w:shd w:val="clear" w:color="B4C6E7" w:fill="B4C6E7"/>
            <w:noWrap/>
            <w:vAlign w:val="bottom"/>
            <w:hideMark/>
          </w:tcPr>
          <w:p w14:paraId="25AADF0D"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16580</w:t>
            </w:r>
          </w:p>
        </w:tc>
        <w:tc>
          <w:tcPr>
            <w:tcW w:w="1030" w:type="dxa"/>
            <w:tcBorders>
              <w:top w:val="single" w:sz="12" w:space="0" w:color="FFFFFF"/>
              <w:left w:val="single" w:sz="4" w:space="0" w:color="FFFFFF"/>
              <w:bottom w:val="nil"/>
              <w:right w:val="nil"/>
            </w:tcBorders>
            <w:shd w:val="clear" w:color="B4C6E7" w:fill="B4C6E7"/>
            <w:noWrap/>
            <w:vAlign w:val="bottom"/>
            <w:hideMark/>
          </w:tcPr>
          <w:p w14:paraId="273BC4A0"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16032</w:t>
            </w:r>
          </w:p>
        </w:tc>
        <w:tc>
          <w:tcPr>
            <w:tcW w:w="895" w:type="dxa"/>
            <w:tcBorders>
              <w:top w:val="single" w:sz="12" w:space="0" w:color="FFFFFF"/>
              <w:left w:val="single" w:sz="4" w:space="0" w:color="FFFFFF"/>
              <w:bottom w:val="nil"/>
              <w:right w:val="nil"/>
            </w:tcBorders>
            <w:shd w:val="clear" w:color="B4C6E7" w:fill="B4C6E7"/>
            <w:noWrap/>
            <w:vAlign w:val="bottom"/>
            <w:hideMark/>
          </w:tcPr>
          <w:p w14:paraId="3AF2EBDE"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3.42%</w:t>
            </w:r>
          </w:p>
        </w:tc>
        <w:tc>
          <w:tcPr>
            <w:tcW w:w="1256" w:type="dxa"/>
            <w:tcBorders>
              <w:top w:val="single" w:sz="12" w:space="0" w:color="FFFFFF"/>
              <w:left w:val="single" w:sz="4" w:space="0" w:color="FFFFFF"/>
              <w:bottom w:val="nil"/>
              <w:right w:val="nil"/>
            </w:tcBorders>
            <w:shd w:val="clear" w:color="B4C6E7" w:fill="B4C6E7"/>
            <w:noWrap/>
            <w:vAlign w:val="bottom"/>
            <w:hideMark/>
          </w:tcPr>
          <w:p w14:paraId="144F70E7"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925</w:t>
            </w:r>
          </w:p>
        </w:tc>
        <w:tc>
          <w:tcPr>
            <w:tcW w:w="1372" w:type="dxa"/>
            <w:tcBorders>
              <w:top w:val="single" w:sz="12" w:space="0" w:color="FFFFFF"/>
              <w:left w:val="single" w:sz="4" w:space="0" w:color="FFFFFF"/>
              <w:bottom w:val="nil"/>
              <w:right w:val="nil"/>
            </w:tcBorders>
            <w:shd w:val="clear" w:color="B4C6E7" w:fill="B4C6E7"/>
            <w:noWrap/>
            <w:vAlign w:val="bottom"/>
            <w:hideMark/>
          </w:tcPr>
          <w:p w14:paraId="46AB0BCF"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15215</w:t>
            </w:r>
          </w:p>
        </w:tc>
      </w:tr>
      <w:tr w:rsidR="0054527A" w:rsidRPr="0054527A" w14:paraId="5AC6FACC" w14:textId="77777777" w:rsidTr="0054527A">
        <w:trPr>
          <w:trHeight w:val="290"/>
        </w:trPr>
        <w:tc>
          <w:tcPr>
            <w:tcW w:w="1434" w:type="dxa"/>
            <w:tcBorders>
              <w:top w:val="single" w:sz="4" w:space="0" w:color="FFFFFF"/>
              <w:left w:val="nil"/>
              <w:bottom w:val="nil"/>
              <w:right w:val="nil"/>
            </w:tcBorders>
            <w:shd w:val="clear" w:color="D9E1F2" w:fill="D9E1F2"/>
            <w:noWrap/>
            <w:vAlign w:val="bottom"/>
            <w:hideMark/>
          </w:tcPr>
          <w:p w14:paraId="75B6B4F9" w14:textId="77777777" w:rsidR="0054527A" w:rsidRPr="0054527A" w:rsidRDefault="0054527A" w:rsidP="0054527A">
            <w:pPr>
              <w:spacing w:after="0" w:line="240" w:lineRule="auto"/>
              <w:rPr>
                <w:rFonts w:eastAsia="Times New Roman"/>
                <w:color w:val="000000"/>
                <w:sz w:val="20"/>
                <w:szCs w:val="20"/>
                <w:lang w:val="en-CA" w:eastAsia="en-CA"/>
              </w:rPr>
            </w:pPr>
            <w:r w:rsidRPr="0054527A">
              <w:rPr>
                <w:rFonts w:eastAsia="Times New Roman"/>
                <w:color w:val="000000"/>
                <w:sz w:val="20"/>
                <w:szCs w:val="20"/>
                <w:lang w:val="en-CA" w:eastAsia="en-CA"/>
              </w:rPr>
              <w:t>Saint Jacques</w:t>
            </w:r>
          </w:p>
        </w:tc>
        <w:tc>
          <w:tcPr>
            <w:tcW w:w="814" w:type="dxa"/>
            <w:tcBorders>
              <w:top w:val="single" w:sz="4" w:space="0" w:color="FFFFFF"/>
              <w:left w:val="single" w:sz="4" w:space="0" w:color="FFFFFF"/>
              <w:bottom w:val="nil"/>
              <w:right w:val="nil"/>
            </w:tcBorders>
            <w:shd w:val="clear" w:color="D9E1F2" w:fill="D9E1F2"/>
            <w:noWrap/>
            <w:vAlign w:val="bottom"/>
            <w:hideMark/>
          </w:tcPr>
          <w:p w14:paraId="7D49B6C1" w14:textId="77777777" w:rsidR="0054527A" w:rsidRPr="0054527A" w:rsidRDefault="0054527A" w:rsidP="0054527A">
            <w:pPr>
              <w:spacing w:after="0" w:line="240" w:lineRule="auto"/>
              <w:rPr>
                <w:rFonts w:eastAsia="Times New Roman"/>
                <w:color w:val="000000"/>
                <w:sz w:val="20"/>
                <w:szCs w:val="20"/>
                <w:lang w:val="en-CA" w:eastAsia="en-CA"/>
              </w:rPr>
            </w:pPr>
            <w:r w:rsidRPr="0054527A">
              <w:rPr>
                <w:rFonts w:eastAsia="Times New Roman"/>
                <w:color w:val="000000"/>
                <w:sz w:val="20"/>
                <w:szCs w:val="20"/>
                <w:lang w:val="en-CA" w:eastAsia="en-CA"/>
              </w:rPr>
              <w:t>LSD</w:t>
            </w:r>
          </w:p>
        </w:tc>
        <w:tc>
          <w:tcPr>
            <w:tcW w:w="1450" w:type="dxa"/>
            <w:tcBorders>
              <w:top w:val="single" w:sz="4" w:space="0" w:color="FFFFFF"/>
              <w:left w:val="single" w:sz="4" w:space="0" w:color="FFFFFF"/>
              <w:bottom w:val="nil"/>
              <w:right w:val="nil"/>
            </w:tcBorders>
            <w:shd w:val="clear" w:color="D9E1F2" w:fill="D9E1F2"/>
            <w:noWrap/>
            <w:vAlign w:val="bottom"/>
            <w:hideMark/>
          </w:tcPr>
          <w:p w14:paraId="0FF50586"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$100,708,300</w:t>
            </w:r>
          </w:p>
        </w:tc>
        <w:tc>
          <w:tcPr>
            <w:tcW w:w="1369" w:type="dxa"/>
            <w:tcBorders>
              <w:top w:val="single" w:sz="4" w:space="0" w:color="FFFFFF"/>
              <w:left w:val="single" w:sz="4" w:space="0" w:color="FFFFFF"/>
              <w:bottom w:val="nil"/>
              <w:right w:val="nil"/>
            </w:tcBorders>
            <w:shd w:val="clear" w:color="D9E1F2" w:fill="D9E1F2"/>
            <w:noWrap/>
            <w:vAlign w:val="bottom"/>
            <w:hideMark/>
          </w:tcPr>
          <w:p w14:paraId="45E19F73"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$2,430,400</w:t>
            </w:r>
          </w:p>
        </w:tc>
        <w:tc>
          <w:tcPr>
            <w:tcW w:w="1407" w:type="dxa"/>
            <w:tcBorders>
              <w:top w:val="single" w:sz="4" w:space="0" w:color="FFFFFF"/>
              <w:left w:val="single" w:sz="4" w:space="0" w:color="FFFFFF"/>
              <w:bottom w:val="nil"/>
              <w:right w:val="nil"/>
            </w:tcBorders>
            <w:shd w:val="clear" w:color="D9E1F2" w:fill="D9E1F2"/>
            <w:noWrap/>
            <w:vAlign w:val="bottom"/>
            <w:hideMark/>
          </w:tcPr>
          <w:p w14:paraId="7BAEDA56"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$103,138,700</w:t>
            </w:r>
          </w:p>
        </w:tc>
        <w:tc>
          <w:tcPr>
            <w:tcW w:w="1030" w:type="dxa"/>
            <w:tcBorders>
              <w:top w:val="single" w:sz="4" w:space="0" w:color="FFFFFF"/>
              <w:left w:val="single" w:sz="4" w:space="0" w:color="FFFFFF"/>
              <w:bottom w:val="nil"/>
              <w:right w:val="nil"/>
            </w:tcBorders>
            <w:shd w:val="clear" w:color="D9E1F2" w:fill="D9E1F2"/>
            <w:noWrap/>
            <w:vAlign w:val="bottom"/>
            <w:hideMark/>
          </w:tcPr>
          <w:p w14:paraId="7DFB1418"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1596</w:t>
            </w:r>
          </w:p>
        </w:tc>
        <w:tc>
          <w:tcPr>
            <w:tcW w:w="1030" w:type="dxa"/>
            <w:tcBorders>
              <w:top w:val="single" w:sz="4" w:space="0" w:color="FFFFFF"/>
              <w:left w:val="single" w:sz="4" w:space="0" w:color="FFFFFF"/>
              <w:bottom w:val="nil"/>
              <w:right w:val="nil"/>
            </w:tcBorders>
            <w:shd w:val="clear" w:color="D9E1F2" w:fill="D9E1F2"/>
            <w:noWrap/>
            <w:vAlign w:val="bottom"/>
            <w:hideMark/>
          </w:tcPr>
          <w:p w14:paraId="243ECA7E"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1599</w:t>
            </w:r>
          </w:p>
        </w:tc>
        <w:tc>
          <w:tcPr>
            <w:tcW w:w="895" w:type="dxa"/>
            <w:tcBorders>
              <w:top w:val="single" w:sz="4" w:space="0" w:color="FFFFFF"/>
              <w:left w:val="single" w:sz="4" w:space="0" w:color="FFFFFF"/>
              <w:bottom w:val="nil"/>
              <w:right w:val="nil"/>
            </w:tcBorders>
            <w:shd w:val="clear" w:color="D9E1F2" w:fill="D9E1F2"/>
            <w:noWrap/>
            <w:vAlign w:val="bottom"/>
            <w:hideMark/>
          </w:tcPr>
          <w:p w14:paraId="17EAFB4C"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-0.19%</w:t>
            </w:r>
          </w:p>
        </w:tc>
        <w:tc>
          <w:tcPr>
            <w:tcW w:w="1256" w:type="dxa"/>
            <w:tcBorders>
              <w:top w:val="single" w:sz="4" w:space="0" w:color="FFFFFF"/>
              <w:left w:val="single" w:sz="4" w:space="0" w:color="FFFFFF"/>
              <w:bottom w:val="nil"/>
              <w:right w:val="nil"/>
            </w:tcBorders>
            <w:shd w:val="clear" w:color="D9E1F2" w:fill="D9E1F2"/>
            <w:noWrap/>
            <w:vAlign w:val="bottom"/>
            <w:hideMark/>
          </w:tcPr>
          <w:p w14:paraId="2CB75CF1"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60</w:t>
            </w:r>
          </w:p>
        </w:tc>
        <w:tc>
          <w:tcPr>
            <w:tcW w:w="1372" w:type="dxa"/>
            <w:tcBorders>
              <w:top w:val="single" w:sz="4" w:space="0" w:color="FFFFFF"/>
              <w:left w:val="single" w:sz="4" w:space="0" w:color="FFFFFF"/>
              <w:bottom w:val="nil"/>
              <w:right w:val="nil"/>
            </w:tcBorders>
            <w:shd w:val="clear" w:color="D9E1F2" w:fill="D9E1F2"/>
            <w:noWrap/>
            <w:vAlign w:val="bottom"/>
            <w:hideMark/>
          </w:tcPr>
          <w:p w14:paraId="11754439"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1530</w:t>
            </w:r>
          </w:p>
        </w:tc>
      </w:tr>
      <w:tr w:rsidR="0054527A" w:rsidRPr="0054527A" w14:paraId="4948A8A1" w14:textId="77777777" w:rsidTr="0054527A">
        <w:trPr>
          <w:trHeight w:val="290"/>
        </w:trPr>
        <w:tc>
          <w:tcPr>
            <w:tcW w:w="1434" w:type="dxa"/>
            <w:tcBorders>
              <w:top w:val="single" w:sz="4" w:space="0" w:color="FFFFFF"/>
              <w:left w:val="nil"/>
              <w:bottom w:val="nil"/>
              <w:right w:val="nil"/>
            </w:tcBorders>
            <w:shd w:val="clear" w:color="B4C6E7" w:fill="B4C6E7"/>
            <w:noWrap/>
            <w:vAlign w:val="bottom"/>
            <w:hideMark/>
          </w:tcPr>
          <w:p w14:paraId="1E9057E0" w14:textId="77777777" w:rsidR="0054527A" w:rsidRPr="0054527A" w:rsidRDefault="0054527A" w:rsidP="0054527A">
            <w:pPr>
              <w:spacing w:after="0" w:line="240" w:lineRule="auto"/>
              <w:rPr>
                <w:rFonts w:eastAsia="Times New Roman"/>
                <w:color w:val="000000"/>
                <w:sz w:val="20"/>
                <w:szCs w:val="20"/>
                <w:lang w:val="en-CA" w:eastAsia="en-CA"/>
              </w:rPr>
            </w:pPr>
            <w:r w:rsidRPr="0054527A">
              <w:rPr>
                <w:rFonts w:eastAsia="Times New Roman"/>
                <w:color w:val="000000"/>
                <w:sz w:val="20"/>
                <w:szCs w:val="20"/>
                <w:lang w:val="en-CA" w:eastAsia="en-CA"/>
              </w:rPr>
              <w:t>Saint-Basile</w:t>
            </w:r>
          </w:p>
        </w:tc>
        <w:tc>
          <w:tcPr>
            <w:tcW w:w="814" w:type="dxa"/>
            <w:tcBorders>
              <w:top w:val="single" w:sz="4" w:space="0" w:color="FFFFFF"/>
              <w:left w:val="single" w:sz="4" w:space="0" w:color="FFFFFF"/>
              <w:bottom w:val="nil"/>
              <w:right w:val="nil"/>
            </w:tcBorders>
            <w:shd w:val="clear" w:color="B4C6E7" w:fill="B4C6E7"/>
            <w:noWrap/>
            <w:vAlign w:val="bottom"/>
            <w:hideMark/>
          </w:tcPr>
          <w:p w14:paraId="2287F834" w14:textId="77777777" w:rsidR="0054527A" w:rsidRPr="0054527A" w:rsidRDefault="0054527A" w:rsidP="0054527A">
            <w:pPr>
              <w:spacing w:after="0" w:line="240" w:lineRule="auto"/>
              <w:rPr>
                <w:rFonts w:eastAsia="Times New Roman"/>
                <w:color w:val="000000"/>
                <w:sz w:val="20"/>
                <w:szCs w:val="20"/>
                <w:lang w:val="en-CA" w:eastAsia="en-CA"/>
              </w:rPr>
            </w:pPr>
            <w:r w:rsidRPr="0054527A">
              <w:rPr>
                <w:rFonts w:eastAsia="Times New Roman"/>
                <w:color w:val="000000"/>
                <w:sz w:val="20"/>
                <w:szCs w:val="20"/>
                <w:lang w:val="en-CA" w:eastAsia="en-CA"/>
              </w:rPr>
              <w:t>LSD</w:t>
            </w:r>
          </w:p>
        </w:tc>
        <w:tc>
          <w:tcPr>
            <w:tcW w:w="1450" w:type="dxa"/>
            <w:tcBorders>
              <w:top w:val="single" w:sz="4" w:space="0" w:color="FFFFFF"/>
              <w:left w:val="single" w:sz="4" w:space="0" w:color="FFFFFF"/>
              <w:bottom w:val="nil"/>
              <w:right w:val="nil"/>
            </w:tcBorders>
            <w:shd w:val="clear" w:color="B4C6E7" w:fill="B4C6E7"/>
            <w:noWrap/>
            <w:vAlign w:val="bottom"/>
            <w:hideMark/>
          </w:tcPr>
          <w:p w14:paraId="5549B5D6"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$35,395,900</w:t>
            </w:r>
          </w:p>
        </w:tc>
        <w:tc>
          <w:tcPr>
            <w:tcW w:w="1369" w:type="dxa"/>
            <w:tcBorders>
              <w:top w:val="single" w:sz="4" w:space="0" w:color="FFFFFF"/>
              <w:left w:val="single" w:sz="4" w:space="0" w:color="FFFFFF"/>
              <w:bottom w:val="nil"/>
              <w:right w:val="nil"/>
            </w:tcBorders>
            <w:shd w:val="clear" w:color="B4C6E7" w:fill="B4C6E7"/>
            <w:noWrap/>
            <w:vAlign w:val="bottom"/>
            <w:hideMark/>
          </w:tcPr>
          <w:p w14:paraId="07D1AF82"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$563,400</w:t>
            </w:r>
          </w:p>
        </w:tc>
        <w:tc>
          <w:tcPr>
            <w:tcW w:w="1407" w:type="dxa"/>
            <w:tcBorders>
              <w:top w:val="single" w:sz="4" w:space="0" w:color="FFFFFF"/>
              <w:left w:val="single" w:sz="4" w:space="0" w:color="FFFFFF"/>
              <w:bottom w:val="nil"/>
              <w:right w:val="nil"/>
            </w:tcBorders>
            <w:shd w:val="clear" w:color="B4C6E7" w:fill="B4C6E7"/>
            <w:noWrap/>
            <w:vAlign w:val="bottom"/>
            <w:hideMark/>
          </w:tcPr>
          <w:p w14:paraId="1246BCC3"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$35,959,300</w:t>
            </w:r>
          </w:p>
        </w:tc>
        <w:tc>
          <w:tcPr>
            <w:tcW w:w="1030" w:type="dxa"/>
            <w:tcBorders>
              <w:top w:val="single" w:sz="4" w:space="0" w:color="FFFFFF"/>
              <w:left w:val="single" w:sz="4" w:space="0" w:color="FFFFFF"/>
              <w:bottom w:val="nil"/>
              <w:right w:val="nil"/>
            </w:tcBorders>
            <w:shd w:val="clear" w:color="B4C6E7" w:fill="B4C6E7"/>
            <w:noWrap/>
            <w:vAlign w:val="bottom"/>
            <w:hideMark/>
          </w:tcPr>
          <w:p w14:paraId="3EC43099"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592</w:t>
            </w:r>
          </w:p>
        </w:tc>
        <w:tc>
          <w:tcPr>
            <w:tcW w:w="1030" w:type="dxa"/>
            <w:tcBorders>
              <w:top w:val="single" w:sz="4" w:space="0" w:color="FFFFFF"/>
              <w:left w:val="single" w:sz="4" w:space="0" w:color="FFFFFF"/>
              <w:bottom w:val="nil"/>
              <w:right w:val="nil"/>
            </w:tcBorders>
            <w:shd w:val="clear" w:color="B4C6E7" w:fill="B4C6E7"/>
            <w:noWrap/>
            <w:vAlign w:val="bottom"/>
            <w:hideMark/>
          </w:tcPr>
          <w:p w14:paraId="07893A6C"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717</w:t>
            </w:r>
          </w:p>
        </w:tc>
        <w:tc>
          <w:tcPr>
            <w:tcW w:w="895" w:type="dxa"/>
            <w:tcBorders>
              <w:top w:val="single" w:sz="4" w:space="0" w:color="FFFFFF"/>
              <w:left w:val="single" w:sz="4" w:space="0" w:color="FFFFFF"/>
              <w:bottom w:val="nil"/>
              <w:right w:val="nil"/>
            </w:tcBorders>
            <w:shd w:val="clear" w:color="B4C6E7" w:fill="B4C6E7"/>
            <w:noWrap/>
            <w:vAlign w:val="bottom"/>
            <w:hideMark/>
          </w:tcPr>
          <w:p w14:paraId="3692F6BC"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-17.43%</w:t>
            </w:r>
          </w:p>
        </w:tc>
        <w:tc>
          <w:tcPr>
            <w:tcW w:w="1256" w:type="dxa"/>
            <w:tcBorders>
              <w:top w:val="single" w:sz="4" w:space="0" w:color="FFFFFF"/>
              <w:left w:val="single" w:sz="4" w:space="0" w:color="FFFFFF"/>
              <w:bottom w:val="nil"/>
              <w:right w:val="nil"/>
            </w:tcBorders>
            <w:shd w:val="clear" w:color="B4C6E7" w:fill="B4C6E7"/>
            <w:noWrap/>
            <w:vAlign w:val="bottom"/>
            <w:hideMark/>
          </w:tcPr>
          <w:p w14:paraId="3F10584C"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10</w:t>
            </w:r>
          </w:p>
        </w:tc>
        <w:tc>
          <w:tcPr>
            <w:tcW w:w="1372" w:type="dxa"/>
            <w:tcBorders>
              <w:top w:val="single" w:sz="4" w:space="0" w:color="FFFFFF"/>
              <w:left w:val="single" w:sz="4" w:space="0" w:color="FFFFFF"/>
              <w:bottom w:val="nil"/>
              <w:right w:val="nil"/>
            </w:tcBorders>
            <w:shd w:val="clear" w:color="B4C6E7" w:fill="B4C6E7"/>
            <w:noWrap/>
            <w:vAlign w:val="bottom"/>
            <w:hideMark/>
          </w:tcPr>
          <w:p w14:paraId="711838D1"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585</w:t>
            </w:r>
          </w:p>
        </w:tc>
      </w:tr>
      <w:tr w:rsidR="0054527A" w:rsidRPr="0054527A" w14:paraId="0DF438DD" w14:textId="77777777" w:rsidTr="0054527A">
        <w:trPr>
          <w:trHeight w:val="290"/>
        </w:trPr>
        <w:tc>
          <w:tcPr>
            <w:tcW w:w="1434" w:type="dxa"/>
            <w:tcBorders>
              <w:top w:val="single" w:sz="4" w:space="0" w:color="FFFFFF"/>
              <w:left w:val="nil"/>
              <w:bottom w:val="nil"/>
              <w:right w:val="nil"/>
            </w:tcBorders>
            <w:shd w:val="clear" w:color="D9E1F2" w:fill="D9E1F2"/>
            <w:noWrap/>
            <w:vAlign w:val="bottom"/>
            <w:hideMark/>
          </w:tcPr>
          <w:p w14:paraId="037A0853" w14:textId="77777777" w:rsidR="0054527A" w:rsidRPr="0054527A" w:rsidRDefault="0054527A" w:rsidP="0054527A">
            <w:pPr>
              <w:spacing w:after="0" w:line="240" w:lineRule="auto"/>
              <w:rPr>
                <w:rFonts w:eastAsia="Times New Roman"/>
                <w:color w:val="000000"/>
                <w:sz w:val="20"/>
                <w:szCs w:val="20"/>
                <w:lang w:val="en-CA" w:eastAsia="en-CA"/>
              </w:rPr>
            </w:pPr>
            <w:r w:rsidRPr="0054527A">
              <w:rPr>
                <w:rFonts w:eastAsia="Times New Roman"/>
                <w:color w:val="000000"/>
                <w:sz w:val="20"/>
                <w:szCs w:val="20"/>
                <w:lang w:val="en-CA" w:eastAsia="en-CA"/>
              </w:rPr>
              <w:t>Saint-Joseph</w:t>
            </w:r>
          </w:p>
        </w:tc>
        <w:tc>
          <w:tcPr>
            <w:tcW w:w="814" w:type="dxa"/>
            <w:tcBorders>
              <w:top w:val="single" w:sz="4" w:space="0" w:color="FFFFFF"/>
              <w:left w:val="single" w:sz="4" w:space="0" w:color="FFFFFF"/>
              <w:bottom w:val="nil"/>
              <w:right w:val="nil"/>
            </w:tcBorders>
            <w:shd w:val="clear" w:color="D9E1F2" w:fill="D9E1F2"/>
            <w:noWrap/>
            <w:vAlign w:val="bottom"/>
            <w:hideMark/>
          </w:tcPr>
          <w:p w14:paraId="7B9E17D7" w14:textId="77777777" w:rsidR="0054527A" w:rsidRPr="0054527A" w:rsidRDefault="0054527A" w:rsidP="0054527A">
            <w:pPr>
              <w:spacing w:after="0" w:line="240" w:lineRule="auto"/>
              <w:rPr>
                <w:rFonts w:eastAsia="Times New Roman"/>
                <w:color w:val="000000"/>
                <w:sz w:val="20"/>
                <w:szCs w:val="20"/>
                <w:lang w:val="en-CA" w:eastAsia="en-CA"/>
              </w:rPr>
            </w:pPr>
            <w:r w:rsidRPr="0054527A">
              <w:rPr>
                <w:rFonts w:eastAsia="Times New Roman"/>
                <w:color w:val="000000"/>
                <w:sz w:val="20"/>
                <w:szCs w:val="20"/>
                <w:lang w:val="en-CA" w:eastAsia="en-CA"/>
              </w:rPr>
              <w:t>LSD</w:t>
            </w:r>
          </w:p>
        </w:tc>
        <w:tc>
          <w:tcPr>
            <w:tcW w:w="1450" w:type="dxa"/>
            <w:tcBorders>
              <w:top w:val="single" w:sz="4" w:space="0" w:color="FFFFFF"/>
              <w:left w:val="single" w:sz="4" w:space="0" w:color="FFFFFF"/>
              <w:bottom w:val="nil"/>
              <w:right w:val="nil"/>
            </w:tcBorders>
            <w:shd w:val="clear" w:color="D9E1F2" w:fill="D9E1F2"/>
            <w:vAlign w:val="bottom"/>
            <w:hideMark/>
          </w:tcPr>
          <w:p w14:paraId="7B057C14"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$81,397,500</w:t>
            </w:r>
          </w:p>
        </w:tc>
        <w:tc>
          <w:tcPr>
            <w:tcW w:w="1369" w:type="dxa"/>
            <w:tcBorders>
              <w:top w:val="single" w:sz="4" w:space="0" w:color="FFFFFF"/>
              <w:left w:val="single" w:sz="4" w:space="0" w:color="FFFFFF"/>
              <w:bottom w:val="nil"/>
              <w:right w:val="nil"/>
            </w:tcBorders>
            <w:shd w:val="clear" w:color="D9E1F2" w:fill="D9E1F2"/>
            <w:vAlign w:val="bottom"/>
            <w:hideMark/>
          </w:tcPr>
          <w:p w14:paraId="1C75F78A"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$3,004,500</w:t>
            </w:r>
          </w:p>
        </w:tc>
        <w:tc>
          <w:tcPr>
            <w:tcW w:w="1407" w:type="dxa"/>
            <w:tcBorders>
              <w:top w:val="single" w:sz="4" w:space="0" w:color="FFFFFF"/>
              <w:left w:val="single" w:sz="4" w:space="0" w:color="FFFFFF"/>
              <w:bottom w:val="nil"/>
              <w:right w:val="nil"/>
            </w:tcBorders>
            <w:shd w:val="clear" w:color="D9E1F2" w:fill="D9E1F2"/>
            <w:noWrap/>
            <w:vAlign w:val="bottom"/>
            <w:hideMark/>
          </w:tcPr>
          <w:p w14:paraId="74A62EBD"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$84,402,000</w:t>
            </w:r>
          </w:p>
        </w:tc>
        <w:tc>
          <w:tcPr>
            <w:tcW w:w="1030" w:type="dxa"/>
            <w:tcBorders>
              <w:top w:val="single" w:sz="4" w:space="0" w:color="FFFFFF"/>
              <w:left w:val="single" w:sz="4" w:space="0" w:color="FFFFFF"/>
              <w:bottom w:val="nil"/>
              <w:right w:val="nil"/>
            </w:tcBorders>
            <w:shd w:val="clear" w:color="D9E1F2" w:fill="D9E1F2"/>
            <w:noWrap/>
            <w:vAlign w:val="bottom"/>
            <w:hideMark/>
          </w:tcPr>
          <w:p w14:paraId="265BFF0C"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1538</w:t>
            </w:r>
          </w:p>
        </w:tc>
        <w:tc>
          <w:tcPr>
            <w:tcW w:w="1030" w:type="dxa"/>
            <w:tcBorders>
              <w:top w:val="single" w:sz="4" w:space="0" w:color="FFFFFF"/>
              <w:left w:val="single" w:sz="4" w:space="0" w:color="FFFFFF"/>
              <w:bottom w:val="nil"/>
              <w:right w:val="nil"/>
            </w:tcBorders>
            <w:shd w:val="clear" w:color="D9E1F2" w:fill="D9E1F2"/>
            <w:noWrap/>
            <w:vAlign w:val="bottom"/>
            <w:hideMark/>
          </w:tcPr>
          <w:p w14:paraId="325448E6"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2171</w:t>
            </w:r>
          </w:p>
        </w:tc>
        <w:tc>
          <w:tcPr>
            <w:tcW w:w="895" w:type="dxa"/>
            <w:tcBorders>
              <w:top w:val="single" w:sz="4" w:space="0" w:color="FFFFFF"/>
              <w:left w:val="single" w:sz="4" w:space="0" w:color="FFFFFF"/>
              <w:bottom w:val="nil"/>
              <w:right w:val="nil"/>
            </w:tcBorders>
            <w:shd w:val="clear" w:color="D9E1F2" w:fill="D9E1F2"/>
            <w:noWrap/>
            <w:vAlign w:val="bottom"/>
            <w:hideMark/>
          </w:tcPr>
          <w:p w14:paraId="667D7BB7"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-29.16%</w:t>
            </w:r>
          </w:p>
        </w:tc>
        <w:tc>
          <w:tcPr>
            <w:tcW w:w="1256" w:type="dxa"/>
            <w:tcBorders>
              <w:top w:val="single" w:sz="4" w:space="0" w:color="FFFFFF"/>
              <w:left w:val="single" w:sz="4" w:space="0" w:color="FFFFFF"/>
              <w:bottom w:val="nil"/>
              <w:right w:val="nil"/>
            </w:tcBorders>
            <w:shd w:val="clear" w:color="D9E1F2" w:fill="D9E1F2"/>
            <w:noWrap/>
            <w:vAlign w:val="bottom"/>
            <w:hideMark/>
          </w:tcPr>
          <w:p w14:paraId="7700055A"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35</w:t>
            </w:r>
          </w:p>
        </w:tc>
        <w:tc>
          <w:tcPr>
            <w:tcW w:w="1372" w:type="dxa"/>
            <w:tcBorders>
              <w:top w:val="single" w:sz="4" w:space="0" w:color="FFFFFF"/>
              <w:left w:val="single" w:sz="4" w:space="0" w:color="FFFFFF"/>
              <w:bottom w:val="nil"/>
              <w:right w:val="nil"/>
            </w:tcBorders>
            <w:shd w:val="clear" w:color="D9E1F2" w:fill="D9E1F2"/>
            <w:noWrap/>
            <w:vAlign w:val="bottom"/>
            <w:hideMark/>
          </w:tcPr>
          <w:p w14:paraId="56DA40C9"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1480</w:t>
            </w:r>
          </w:p>
        </w:tc>
      </w:tr>
      <w:tr w:rsidR="0054527A" w:rsidRPr="0054527A" w14:paraId="722CC7D9" w14:textId="77777777" w:rsidTr="0054527A">
        <w:trPr>
          <w:trHeight w:val="290"/>
        </w:trPr>
        <w:tc>
          <w:tcPr>
            <w:tcW w:w="1434" w:type="dxa"/>
            <w:tcBorders>
              <w:top w:val="single" w:sz="4" w:space="0" w:color="FFFFFF"/>
              <w:left w:val="nil"/>
              <w:bottom w:val="nil"/>
              <w:right w:val="nil"/>
            </w:tcBorders>
            <w:shd w:val="clear" w:color="B4C6E7" w:fill="B4C6E7"/>
            <w:noWrap/>
            <w:vAlign w:val="bottom"/>
            <w:hideMark/>
          </w:tcPr>
          <w:p w14:paraId="6D362197" w14:textId="77777777" w:rsidR="0054527A" w:rsidRPr="0054527A" w:rsidRDefault="0054527A" w:rsidP="0054527A">
            <w:pPr>
              <w:spacing w:after="0" w:line="240" w:lineRule="auto"/>
              <w:jc w:val="right"/>
              <w:rPr>
                <w:rFonts w:eastAsia="Times New Roman"/>
                <w:b/>
                <w:bCs/>
                <w:color w:val="000000"/>
                <w:sz w:val="20"/>
                <w:szCs w:val="20"/>
                <w:lang w:val="en-CA" w:eastAsia="en-CA"/>
              </w:rPr>
            </w:pPr>
            <w:r w:rsidRPr="0054527A">
              <w:rPr>
                <w:rFonts w:eastAsia="Times New Roman"/>
                <w:b/>
                <w:bCs/>
                <w:color w:val="000000"/>
                <w:sz w:val="20"/>
                <w:szCs w:val="20"/>
                <w:lang w:val="en-CA" w:eastAsia="en-CA"/>
              </w:rPr>
              <w:t>Totals</w:t>
            </w:r>
          </w:p>
        </w:tc>
        <w:tc>
          <w:tcPr>
            <w:tcW w:w="814" w:type="dxa"/>
            <w:tcBorders>
              <w:top w:val="single" w:sz="4" w:space="0" w:color="FFFFFF"/>
              <w:left w:val="single" w:sz="4" w:space="0" w:color="FFFFFF"/>
              <w:bottom w:val="nil"/>
              <w:right w:val="nil"/>
            </w:tcBorders>
            <w:shd w:val="clear" w:color="B4C6E7" w:fill="B4C6E7"/>
            <w:noWrap/>
            <w:vAlign w:val="bottom"/>
            <w:hideMark/>
          </w:tcPr>
          <w:p w14:paraId="50B39D9C" w14:textId="77777777" w:rsidR="0054527A" w:rsidRPr="0054527A" w:rsidRDefault="0054527A" w:rsidP="0054527A">
            <w:pPr>
              <w:spacing w:after="0" w:line="240" w:lineRule="auto"/>
              <w:rPr>
                <w:rFonts w:eastAsia="Times New Roman"/>
                <w:color w:val="000000"/>
                <w:sz w:val="20"/>
                <w:szCs w:val="20"/>
                <w:lang w:val="en-CA" w:eastAsia="en-CA"/>
              </w:rPr>
            </w:pPr>
            <w:r w:rsidRPr="0054527A">
              <w:rPr>
                <w:rFonts w:eastAsia="Times New Roman"/>
                <w:color w:val="000000"/>
                <w:sz w:val="20"/>
                <w:szCs w:val="20"/>
                <w:lang w:val="en-CA" w:eastAsia="en-CA"/>
              </w:rPr>
              <w:t> </w:t>
            </w:r>
          </w:p>
        </w:tc>
        <w:tc>
          <w:tcPr>
            <w:tcW w:w="1450" w:type="dxa"/>
            <w:tcBorders>
              <w:top w:val="single" w:sz="4" w:space="0" w:color="FFFFFF"/>
              <w:left w:val="single" w:sz="4" w:space="0" w:color="FFFFFF"/>
              <w:bottom w:val="nil"/>
              <w:right w:val="nil"/>
            </w:tcBorders>
            <w:shd w:val="clear" w:color="B4C6E7" w:fill="B4C6E7"/>
            <w:noWrap/>
            <w:vAlign w:val="bottom"/>
            <w:hideMark/>
          </w:tcPr>
          <w:p w14:paraId="15B237FA"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$1,319,557,200</w:t>
            </w:r>
          </w:p>
        </w:tc>
        <w:tc>
          <w:tcPr>
            <w:tcW w:w="1369" w:type="dxa"/>
            <w:tcBorders>
              <w:top w:val="single" w:sz="4" w:space="0" w:color="FFFFFF"/>
              <w:left w:val="single" w:sz="4" w:space="0" w:color="FFFFFF"/>
              <w:bottom w:val="nil"/>
              <w:right w:val="nil"/>
            </w:tcBorders>
            <w:shd w:val="clear" w:color="B4C6E7" w:fill="B4C6E7"/>
            <w:noWrap/>
            <w:vAlign w:val="bottom"/>
            <w:hideMark/>
          </w:tcPr>
          <w:p w14:paraId="711A1E2D"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$238,483,100</w:t>
            </w:r>
          </w:p>
        </w:tc>
        <w:tc>
          <w:tcPr>
            <w:tcW w:w="1407" w:type="dxa"/>
            <w:tcBorders>
              <w:top w:val="single" w:sz="4" w:space="0" w:color="FFFFFF"/>
              <w:left w:val="single" w:sz="4" w:space="0" w:color="FFFFFF"/>
              <w:bottom w:val="nil"/>
              <w:right w:val="nil"/>
            </w:tcBorders>
            <w:shd w:val="clear" w:color="B4C6E7" w:fill="B4C6E7"/>
            <w:noWrap/>
            <w:vAlign w:val="bottom"/>
            <w:hideMark/>
          </w:tcPr>
          <w:p w14:paraId="12049292"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$1,558,040,300</w:t>
            </w:r>
          </w:p>
        </w:tc>
        <w:tc>
          <w:tcPr>
            <w:tcW w:w="1030" w:type="dxa"/>
            <w:tcBorders>
              <w:top w:val="single" w:sz="4" w:space="0" w:color="FFFFFF"/>
              <w:left w:val="single" w:sz="4" w:space="0" w:color="FFFFFF"/>
              <w:bottom w:val="nil"/>
              <w:right w:val="nil"/>
            </w:tcBorders>
            <w:shd w:val="clear" w:color="B4C6E7" w:fill="B4C6E7"/>
            <w:noWrap/>
            <w:vAlign w:val="bottom"/>
            <w:hideMark/>
          </w:tcPr>
          <w:p w14:paraId="5477A602"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20306</w:t>
            </w:r>
          </w:p>
        </w:tc>
        <w:tc>
          <w:tcPr>
            <w:tcW w:w="1030" w:type="dxa"/>
            <w:tcBorders>
              <w:top w:val="single" w:sz="4" w:space="0" w:color="FFFFFF"/>
              <w:left w:val="single" w:sz="4" w:space="0" w:color="FFFFFF"/>
              <w:bottom w:val="nil"/>
              <w:right w:val="nil"/>
            </w:tcBorders>
            <w:shd w:val="clear" w:color="B4C6E7" w:fill="B4C6E7"/>
            <w:noWrap/>
            <w:vAlign w:val="bottom"/>
            <w:hideMark/>
          </w:tcPr>
          <w:p w14:paraId="0D2872B2"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20519</w:t>
            </w:r>
          </w:p>
        </w:tc>
        <w:tc>
          <w:tcPr>
            <w:tcW w:w="895" w:type="dxa"/>
            <w:tcBorders>
              <w:top w:val="single" w:sz="4" w:space="0" w:color="FFFFFF"/>
              <w:left w:val="single" w:sz="4" w:space="0" w:color="FFFFFF"/>
              <w:bottom w:val="nil"/>
              <w:right w:val="nil"/>
            </w:tcBorders>
            <w:shd w:val="clear" w:color="B4C6E7" w:fill="B4C6E7"/>
            <w:noWrap/>
            <w:vAlign w:val="bottom"/>
            <w:hideMark/>
          </w:tcPr>
          <w:p w14:paraId="63C4D394"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-1.04%</w:t>
            </w:r>
          </w:p>
        </w:tc>
        <w:tc>
          <w:tcPr>
            <w:tcW w:w="1256" w:type="dxa"/>
            <w:tcBorders>
              <w:top w:val="single" w:sz="4" w:space="0" w:color="FFFFFF"/>
              <w:left w:val="single" w:sz="4" w:space="0" w:color="FFFFFF"/>
              <w:bottom w:val="nil"/>
              <w:right w:val="nil"/>
            </w:tcBorders>
            <w:shd w:val="clear" w:color="B4C6E7" w:fill="B4C6E7"/>
            <w:noWrap/>
            <w:vAlign w:val="bottom"/>
            <w:hideMark/>
          </w:tcPr>
          <w:p w14:paraId="10F5C875"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1030</w:t>
            </w:r>
          </w:p>
        </w:tc>
        <w:tc>
          <w:tcPr>
            <w:tcW w:w="1372" w:type="dxa"/>
            <w:tcBorders>
              <w:top w:val="single" w:sz="4" w:space="0" w:color="FFFFFF"/>
              <w:left w:val="single" w:sz="4" w:space="0" w:color="FFFFFF"/>
              <w:bottom w:val="nil"/>
              <w:right w:val="nil"/>
            </w:tcBorders>
            <w:shd w:val="clear" w:color="B4C6E7" w:fill="B4C6E7"/>
            <w:noWrap/>
            <w:vAlign w:val="bottom"/>
            <w:hideMark/>
          </w:tcPr>
          <w:p w14:paraId="4017F55D" w14:textId="77777777" w:rsidR="0054527A" w:rsidRPr="0054527A" w:rsidRDefault="0054527A" w:rsidP="0054527A">
            <w:pPr>
              <w:spacing w:after="0" w:line="240" w:lineRule="auto"/>
              <w:jc w:val="right"/>
              <w:rPr>
                <w:rFonts w:eastAsia="Times New Roman"/>
                <w:color w:val="000000"/>
                <w:sz w:val="20"/>
                <w:szCs w:val="20"/>
                <w:lang w:val="en-CA" w:eastAsia="en-CA"/>
              </w:rPr>
            </w:pPr>
            <w:r w:rsidRPr="0054527A">
              <w:rPr>
                <w:rFonts w:eastAsia="Times New Roman"/>
                <w:color w:val="000000"/>
                <w:sz w:val="20"/>
                <w:szCs w:val="20"/>
                <w:lang w:val="en-CA" w:eastAsia="en-CA"/>
              </w:rPr>
              <w:t>18810</w:t>
            </w:r>
          </w:p>
        </w:tc>
      </w:tr>
    </w:tbl>
    <w:p w14:paraId="0ADD18B4" w14:textId="17357919" w:rsidR="003D337D" w:rsidRDefault="003D337D" w:rsidP="00E16335">
      <w:pPr>
        <w:rPr>
          <w:szCs w:val="24"/>
        </w:rPr>
      </w:pPr>
    </w:p>
    <w:tbl>
      <w:tblPr>
        <w:tblW w:w="9529" w:type="dxa"/>
        <w:tblInd w:w="3020" w:type="dxa"/>
        <w:tblLook w:val="04A0" w:firstRow="1" w:lastRow="0" w:firstColumn="1" w:lastColumn="0" w:noHBand="0" w:noVBand="1"/>
      </w:tblPr>
      <w:tblGrid>
        <w:gridCol w:w="952"/>
        <w:gridCol w:w="1009"/>
        <w:gridCol w:w="1640"/>
        <w:gridCol w:w="1150"/>
        <w:gridCol w:w="1150"/>
        <w:gridCol w:w="872"/>
        <w:gridCol w:w="1328"/>
        <w:gridCol w:w="1428"/>
      </w:tblGrid>
      <w:tr w:rsidR="00941B1A" w:rsidRPr="00941B1A" w14:paraId="213B923A" w14:textId="77777777" w:rsidTr="00941B1A">
        <w:trPr>
          <w:trHeight w:val="290"/>
        </w:trPr>
        <w:tc>
          <w:tcPr>
            <w:tcW w:w="9529" w:type="dxa"/>
            <w:gridSpan w:val="8"/>
            <w:tcBorders>
              <w:top w:val="nil"/>
              <w:left w:val="nil"/>
              <w:bottom w:val="nil"/>
              <w:right w:val="nil"/>
            </w:tcBorders>
            <w:shd w:val="clear" w:color="auto" w:fill="auto"/>
            <w:noWrap/>
            <w:vAlign w:val="bottom"/>
            <w:hideMark/>
          </w:tcPr>
          <w:p w14:paraId="6F516925" w14:textId="77777777" w:rsidR="00941B1A" w:rsidRPr="00941B1A" w:rsidRDefault="00941B1A" w:rsidP="00941B1A">
            <w:pPr>
              <w:spacing w:after="0" w:line="240" w:lineRule="auto"/>
              <w:rPr>
                <w:rFonts w:eastAsia="Times New Roman"/>
                <w:b/>
                <w:bCs/>
                <w:sz w:val="20"/>
                <w:szCs w:val="20"/>
                <w:lang w:val="en-CA" w:eastAsia="en-CA"/>
              </w:rPr>
            </w:pPr>
            <w:r w:rsidRPr="00941B1A">
              <w:rPr>
                <w:rFonts w:eastAsia="Times New Roman"/>
                <w:b/>
                <w:bCs/>
                <w:sz w:val="20"/>
                <w:szCs w:val="20"/>
                <w:lang w:val="en-CA" w:eastAsia="en-CA"/>
              </w:rPr>
              <w:t>Regional Service District 1</w:t>
            </w:r>
          </w:p>
        </w:tc>
      </w:tr>
      <w:tr w:rsidR="00941B1A" w:rsidRPr="00941B1A" w14:paraId="62C32A06" w14:textId="77777777" w:rsidTr="00941B1A">
        <w:trPr>
          <w:trHeight w:val="1090"/>
        </w:trPr>
        <w:tc>
          <w:tcPr>
            <w:tcW w:w="952" w:type="dxa"/>
            <w:tcBorders>
              <w:top w:val="nil"/>
              <w:left w:val="nil"/>
              <w:bottom w:val="nil"/>
              <w:right w:val="nil"/>
            </w:tcBorders>
            <w:shd w:val="clear" w:color="4472C4" w:fill="4472C4"/>
            <w:hideMark/>
          </w:tcPr>
          <w:p w14:paraId="05657033" w14:textId="77777777" w:rsidR="00941B1A" w:rsidRPr="00941B1A" w:rsidRDefault="00941B1A" w:rsidP="00941B1A">
            <w:pPr>
              <w:spacing w:after="0" w:line="240" w:lineRule="auto"/>
              <w:jc w:val="center"/>
              <w:rPr>
                <w:rFonts w:eastAsia="Times New Roman"/>
                <w:b/>
                <w:bCs/>
                <w:color w:val="000000"/>
                <w:sz w:val="20"/>
                <w:szCs w:val="20"/>
                <w:lang w:val="en-CA" w:eastAsia="en-CA"/>
              </w:rPr>
            </w:pPr>
            <w:r w:rsidRPr="00941B1A">
              <w:rPr>
                <w:rFonts w:eastAsia="Times New Roman"/>
                <w:b/>
                <w:bCs/>
                <w:color w:val="000000"/>
                <w:sz w:val="20"/>
                <w:szCs w:val="20"/>
                <w:lang w:val="en-CA" w:eastAsia="en-CA"/>
              </w:rPr>
              <w:t>Entity</w:t>
            </w:r>
          </w:p>
        </w:tc>
        <w:tc>
          <w:tcPr>
            <w:tcW w:w="1009" w:type="dxa"/>
            <w:tcBorders>
              <w:top w:val="nil"/>
              <w:left w:val="single" w:sz="4" w:space="0" w:color="FFFFFF"/>
              <w:bottom w:val="nil"/>
              <w:right w:val="nil"/>
            </w:tcBorders>
            <w:shd w:val="clear" w:color="4472C4" w:fill="4472C4"/>
            <w:hideMark/>
          </w:tcPr>
          <w:p w14:paraId="1F8DFFB0" w14:textId="77777777" w:rsidR="00941B1A" w:rsidRPr="00941B1A" w:rsidRDefault="00941B1A" w:rsidP="00941B1A">
            <w:pPr>
              <w:spacing w:after="0" w:line="240" w:lineRule="auto"/>
              <w:jc w:val="center"/>
              <w:rPr>
                <w:rFonts w:eastAsia="Times New Roman"/>
                <w:b/>
                <w:bCs/>
                <w:color w:val="000000"/>
                <w:sz w:val="20"/>
                <w:szCs w:val="20"/>
                <w:lang w:val="en-CA" w:eastAsia="en-CA"/>
              </w:rPr>
            </w:pPr>
            <w:r w:rsidRPr="00941B1A">
              <w:rPr>
                <w:rFonts w:eastAsia="Times New Roman"/>
                <w:b/>
                <w:bCs/>
                <w:color w:val="000000"/>
                <w:sz w:val="20"/>
                <w:szCs w:val="20"/>
                <w:lang w:val="en-CA" w:eastAsia="en-CA"/>
              </w:rPr>
              <w:t>Group Type</w:t>
            </w:r>
          </w:p>
        </w:tc>
        <w:tc>
          <w:tcPr>
            <w:tcW w:w="1640" w:type="dxa"/>
            <w:tcBorders>
              <w:top w:val="nil"/>
              <w:left w:val="single" w:sz="4" w:space="0" w:color="FFFFFF"/>
              <w:bottom w:val="nil"/>
              <w:right w:val="nil"/>
            </w:tcBorders>
            <w:shd w:val="clear" w:color="4472C4" w:fill="4472C4"/>
            <w:hideMark/>
          </w:tcPr>
          <w:p w14:paraId="2596CE64" w14:textId="77777777" w:rsidR="00941B1A" w:rsidRPr="00941B1A" w:rsidRDefault="00941B1A" w:rsidP="00941B1A">
            <w:pPr>
              <w:spacing w:after="0" w:line="240" w:lineRule="auto"/>
              <w:jc w:val="center"/>
              <w:rPr>
                <w:rFonts w:eastAsia="Times New Roman"/>
                <w:b/>
                <w:bCs/>
                <w:color w:val="000000"/>
                <w:sz w:val="20"/>
                <w:szCs w:val="20"/>
                <w:lang w:val="en-CA" w:eastAsia="en-CA"/>
              </w:rPr>
            </w:pPr>
            <w:r w:rsidRPr="00941B1A">
              <w:rPr>
                <w:rFonts w:eastAsia="Times New Roman"/>
                <w:b/>
                <w:bCs/>
                <w:color w:val="000000"/>
                <w:sz w:val="20"/>
                <w:szCs w:val="20"/>
                <w:lang w:val="en-CA" w:eastAsia="en-CA"/>
              </w:rPr>
              <w:t>2020 Total Assessment Base</w:t>
            </w:r>
          </w:p>
        </w:tc>
        <w:tc>
          <w:tcPr>
            <w:tcW w:w="1150" w:type="dxa"/>
            <w:tcBorders>
              <w:top w:val="nil"/>
              <w:left w:val="single" w:sz="4" w:space="0" w:color="FFFFFF"/>
              <w:bottom w:val="nil"/>
              <w:right w:val="nil"/>
            </w:tcBorders>
            <w:shd w:val="clear" w:color="4472C4" w:fill="4472C4"/>
            <w:hideMark/>
          </w:tcPr>
          <w:p w14:paraId="2578A8CC" w14:textId="77777777" w:rsidR="00941B1A" w:rsidRPr="00941B1A" w:rsidRDefault="00941B1A" w:rsidP="00941B1A">
            <w:pPr>
              <w:spacing w:after="0" w:line="240" w:lineRule="auto"/>
              <w:jc w:val="center"/>
              <w:rPr>
                <w:rFonts w:eastAsia="Times New Roman"/>
                <w:b/>
                <w:bCs/>
                <w:color w:val="000000"/>
                <w:sz w:val="20"/>
                <w:szCs w:val="20"/>
                <w:lang w:val="en-CA" w:eastAsia="en-CA"/>
              </w:rPr>
            </w:pPr>
            <w:r w:rsidRPr="00941B1A">
              <w:rPr>
                <w:rFonts w:eastAsia="Times New Roman"/>
                <w:b/>
                <w:bCs/>
                <w:color w:val="000000"/>
                <w:sz w:val="20"/>
                <w:szCs w:val="20"/>
                <w:lang w:val="en-CA" w:eastAsia="en-CA"/>
              </w:rPr>
              <w:t>Population 2016</w:t>
            </w:r>
            <w:r w:rsidRPr="00941B1A">
              <w:rPr>
                <w:rFonts w:eastAsia="Times New Roman"/>
                <w:b/>
                <w:bCs/>
                <w:color w:val="000000"/>
                <w:sz w:val="20"/>
                <w:szCs w:val="20"/>
                <w:vertAlign w:val="superscript"/>
                <w:lang w:val="en-CA" w:eastAsia="en-CA"/>
              </w:rPr>
              <w:t>2</w:t>
            </w:r>
          </w:p>
        </w:tc>
        <w:tc>
          <w:tcPr>
            <w:tcW w:w="1150" w:type="dxa"/>
            <w:tcBorders>
              <w:top w:val="nil"/>
              <w:left w:val="single" w:sz="4" w:space="0" w:color="FFFFFF"/>
              <w:bottom w:val="nil"/>
              <w:right w:val="nil"/>
            </w:tcBorders>
            <w:shd w:val="clear" w:color="4472C4" w:fill="4472C4"/>
            <w:hideMark/>
          </w:tcPr>
          <w:p w14:paraId="20F0651D" w14:textId="77777777" w:rsidR="00941B1A" w:rsidRPr="00941B1A" w:rsidRDefault="00941B1A" w:rsidP="00941B1A">
            <w:pPr>
              <w:spacing w:after="0" w:line="240" w:lineRule="auto"/>
              <w:jc w:val="center"/>
              <w:rPr>
                <w:rFonts w:eastAsia="Times New Roman"/>
                <w:b/>
                <w:bCs/>
                <w:color w:val="000000"/>
                <w:sz w:val="20"/>
                <w:szCs w:val="20"/>
                <w:lang w:val="en-CA" w:eastAsia="en-CA"/>
              </w:rPr>
            </w:pPr>
            <w:r w:rsidRPr="00941B1A">
              <w:rPr>
                <w:rFonts w:eastAsia="Times New Roman"/>
                <w:b/>
                <w:bCs/>
                <w:color w:val="000000"/>
                <w:sz w:val="20"/>
                <w:szCs w:val="20"/>
                <w:lang w:val="en-CA" w:eastAsia="en-CA"/>
              </w:rPr>
              <w:t>Population 2011</w:t>
            </w:r>
          </w:p>
        </w:tc>
        <w:tc>
          <w:tcPr>
            <w:tcW w:w="872" w:type="dxa"/>
            <w:tcBorders>
              <w:top w:val="nil"/>
              <w:left w:val="single" w:sz="4" w:space="0" w:color="FFFFFF"/>
              <w:bottom w:val="nil"/>
              <w:right w:val="nil"/>
            </w:tcBorders>
            <w:shd w:val="clear" w:color="4472C4" w:fill="4472C4"/>
            <w:hideMark/>
          </w:tcPr>
          <w:p w14:paraId="4163DC8E" w14:textId="77777777" w:rsidR="00941B1A" w:rsidRPr="00941B1A" w:rsidRDefault="00941B1A" w:rsidP="00941B1A">
            <w:pPr>
              <w:spacing w:after="0" w:line="240" w:lineRule="auto"/>
              <w:jc w:val="center"/>
              <w:rPr>
                <w:rFonts w:eastAsia="Times New Roman"/>
                <w:b/>
                <w:bCs/>
                <w:color w:val="000000"/>
                <w:sz w:val="20"/>
                <w:szCs w:val="20"/>
                <w:lang w:val="en-CA" w:eastAsia="en-CA"/>
              </w:rPr>
            </w:pPr>
            <w:r w:rsidRPr="00941B1A">
              <w:rPr>
                <w:rFonts w:eastAsia="Times New Roman"/>
                <w:b/>
                <w:bCs/>
                <w:color w:val="000000"/>
                <w:sz w:val="20"/>
                <w:szCs w:val="20"/>
                <w:lang w:val="en-CA" w:eastAsia="en-CA"/>
              </w:rPr>
              <w:t>% Change</w:t>
            </w:r>
          </w:p>
        </w:tc>
        <w:tc>
          <w:tcPr>
            <w:tcW w:w="1328" w:type="dxa"/>
            <w:tcBorders>
              <w:top w:val="nil"/>
              <w:left w:val="single" w:sz="4" w:space="0" w:color="FFFFFF"/>
              <w:bottom w:val="nil"/>
              <w:right w:val="nil"/>
            </w:tcBorders>
            <w:shd w:val="clear" w:color="4472C4" w:fill="4472C4"/>
            <w:hideMark/>
          </w:tcPr>
          <w:p w14:paraId="2F111751" w14:textId="77777777" w:rsidR="00941B1A" w:rsidRPr="00941B1A" w:rsidRDefault="00941B1A" w:rsidP="00941B1A">
            <w:pPr>
              <w:spacing w:after="0" w:line="240" w:lineRule="auto"/>
              <w:jc w:val="center"/>
              <w:rPr>
                <w:rFonts w:eastAsia="Times New Roman"/>
                <w:b/>
                <w:bCs/>
                <w:color w:val="000000"/>
                <w:sz w:val="20"/>
                <w:szCs w:val="20"/>
                <w:lang w:val="en-CA" w:eastAsia="en-CA"/>
              </w:rPr>
            </w:pPr>
            <w:r w:rsidRPr="00941B1A">
              <w:rPr>
                <w:rFonts w:eastAsia="Times New Roman"/>
                <w:b/>
                <w:bCs/>
                <w:color w:val="000000"/>
                <w:sz w:val="20"/>
                <w:szCs w:val="20"/>
                <w:lang w:val="en-CA" w:eastAsia="en-CA"/>
              </w:rPr>
              <w:t>Anglophones</w:t>
            </w:r>
          </w:p>
        </w:tc>
        <w:tc>
          <w:tcPr>
            <w:tcW w:w="1428" w:type="dxa"/>
            <w:tcBorders>
              <w:top w:val="nil"/>
              <w:left w:val="single" w:sz="4" w:space="0" w:color="FFFFFF"/>
              <w:bottom w:val="nil"/>
              <w:right w:val="nil"/>
            </w:tcBorders>
            <w:shd w:val="clear" w:color="4472C4" w:fill="4472C4"/>
            <w:hideMark/>
          </w:tcPr>
          <w:p w14:paraId="3DB84F33" w14:textId="77777777" w:rsidR="00941B1A" w:rsidRPr="00941B1A" w:rsidRDefault="00941B1A" w:rsidP="00941B1A">
            <w:pPr>
              <w:spacing w:after="0" w:line="240" w:lineRule="auto"/>
              <w:jc w:val="center"/>
              <w:rPr>
                <w:rFonts w:eastAsia="Times New Roman"/>
                <w:b/>
                <w:bCs/>
                <w:color w:val="000000"/>
                <w:sz w:val="20"/>
                <w:szCs w:val="20"/>
                <w:lang w:val="en-CA" w:eastAsia="en-CA"/>
              </w:rPr>
            </w:pPr>
            <w:r w:rsidRPr="00941B1A">
              <w:rPr>
                <w:rFonts w:eastAsia="Times New Roman"/>
                <w:b/>
                <w:bCs/>
                <w:color w:val="000000"/>
                <w:sz w:val="20"/>
                <w:szCs w:val="20"/>
                <w:lang w:val="en-CA" w:eastAsia="en-CA"/>
              </w:rPr>
              <w:t>Francophones</w:t>
            </w:r>
          </w:p>
        </w:tc>
      </w:tr>
      <w:tr w:rsidR="00941B1A" w:rsidRPr="00941B1A" w14:paraId="70369C73" w14:textId="77777777" w:rsidTr="00941B1A">
        <w:trPr>
          <w:trHeight w:val="300"/>
        </w:trPr>
        <w:tc>
          <w:tcPr>
            <w:tcW w:w="952" w:type="dxa"/>
            <w:tcBorders>
              <w:top w:val="single" w:sz="12" w:space="0" w:color="FFFFFF"/>
              <w:left w:val="nil"/>
              <w:bottom w:val="nil"/>
              <w:right w:val="nil"/>
            </w:tcBorders>
            <w:shd w:val="clear" w:color="B4C6E7" w:fill="B4C6E7"/>
            <w:noWrap/>
            <w:vAlign w:val="bottom"/>
            <w:hideMark/>
          </w:tcPr>
          <w:p w14:paraId="7430017E" w14:textId="77777777" w:rsidR="00941B1A" w:rsidRPr="00941B1A" w:rsidRDefault="00941B1A" w:rsidP="00941B1A">
            <w:pPr>
              <w:spacing w:after="0" w:line="240" w:lineRule="auto"/>
              <w:rPr>
                <w:rFonts w:eastAsia="Times New Roman"/>
                <w:color w:val="000000"/>
                <w:sz w:val="20"/>
                <w:szCs w:val="20"/>
                <w:lang w:val="en-CA" w:eastAsia="en-CA"/>
              </w:rPr>
            </w:pPr>
            <w:r w:rsidRPr="00941B1A">
              <w:rPr>
                <w:rFonts w:eastAsia="Times New Roman"/>
                <w:color w:val="000000"/>
                <w:sz w:val="20"/>
                <w:szCs w:val="20"/>
                <w:lang w:val="en-CA" w:eastAsia="en-CA"/>
              </w:rPr>
              <w:t>Entity 1</w:t>
            </w:r>
          </w:p>
        </w:tc>
        <w:tc>
          <w:tcPr>
            <w:tcW w:w="1009" w:type="dxa"/>
            <w:tcBorders>
              <w:top w:val="single" w:sz="12" w:space="0" w:color="FFFFFF"/>
              <w:left w:val="single" w:sz="4" w:space="0" w:color="FFFFFF"/>
              <w:bottom w:val="nil"/>
              <w:right w:val="nil"/>
            </w:tcBorders>
            <w:shd w:val="clear" w:color="B4C6E7" w:fill="B4C6E7"/>
            <w:noWrap/>
            <w:vAlign w:val="bottom"/>
            <w:hideMark/>
          </w:tcPr>
          <w:p w14:paraId="70B62C64" w14:textId="77777777" w:rsidR="00941B1A" w:rsidRPr="00941B1A" w:rsidRDefault="00941B1A" w:rsidP="00941B1A">
            <w:pPr>
              <w:spacing w:after="0" w:line="240" w:lineRule="auto"/>
              <w:rPr>
                <w:rFonts w:eastAsia="Times New Roman"/>
                <w:color w:val="000000"/>
                <w:sz w:val="20"/>
                <w:szCs w:val="20"/>
                <w:lang w:val="en-CA" w:eastAsia="en-CA"/>
              </w:rPr>
            </w:pPr>
            <w:r w:rsidRPr="00941B1A">
              <w:rPr>
                <w:rFonts w:eastAsia="Times New Roman"/>
                <w:color w:val="000000"/>
                <w:sz w:val="20"/>
                <w:szCs w:val="20"/>
                <w:lang w:val="en-CA" w:eastAsia="en-CA"/>
              </w:rPr>
              <w:t>Group A</w:t>
            </w:r>
          </w:p>
        </w:tc>
        <w:tc>
          <w:tcPr>
            <w:tcW w:w="1640" w:type="dxa"/>
            <w:tcBorders>
              <w:top w:val="single" w:sz="12" w:space="0" w:color="FFFFFF"/>
              <w:left w:val="single" w:sz="4" w:space="0" w:color="FFFFFF"/>
              <w:bottom w:val="nil"/>
              <w:right w:val="nil"/>
            </w:tcBorders>
            <w:shd w:val="clear" w:color="B4C6E7" w:fill="B4C6E7"/>
            <w:noWrap/>
            <w:hideMark/>
          </w:tcPr>
          <w:p w14:paraId="17D1EEA5"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$320,212,400</w:t>
            </w:r>
          </w:p>
        </w:tc>
        <w:tc>
          <w:tcPr>
            <w:tcW w:w="1150" w:type="dxa"/>
            <w:tcBorders>
              <w:top w:val="single" w:sz="12" w:space="0" w:color="FFFFFF"/>
              <w:left w:val="single" w:sz="4" w:space="0" w:color="FFFFFF"/>
              <w:bottom w:val="nil"/>
              <w:right w:val="nil"/>
            </w:tcBorders>
            <w:shd w:val="clear" w:color="B4C6E7" w:fill="B4C6E7"/>
            <w:noWrap/>
            <w:hideMark/>
          </w:tcPr>
          <w:p w14:paraId="6BBCDC39"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4404</w:t>
            </w:r>
          </w:p>
        </w:tc>
        <w:tc>
          <w:tcPr>
            <w:tcW w:w="1150" w:type="dxa"/>
            <w:tcBorders>
              <w:top w:val="single" w:sz="12" w:space="0" w:color="FFFFFF"/>
              <w:left w:val="single" w:sz="4" w:space="0" w:color="FFFFFF"/>
              <w:bottom w:val="nil"/>
              <w:right w:val="nil"/>
            </w:tcBorders>
            <w:shd w:val="clear" w:color="B4C6E7" w:fill="B4C6E7"/>
            <w:noWrap/>
            <w:hideMark/>
          </w:tcPr>
          <w:p w14:paraId="47595DF5"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4706</w:t>
            </w:r>
          </w:p>
        </w:tc>
        <w:tc>
          <w:tcPr>
            <w:tcW w:w="872" w:type="dxa"/>
            <w:tcBorders>
              <w:top w:val="single" w:sz="12" w:space="0" w:color="FFFFFF"/>
              <w:left w:val="single" w:sz="4" w:space="0" w:color="FFFFFF"/>
              <w:bottom w:val="nil"/>
              <w:right w:val="nil"/>
            </w:tcBorders>
            <w:shd w:val="clear" w:color="B4C6E7" w:fill="B4C6E7"/>
            <w:noWrap/>
            <w:vAlign w:val="bottom"/>
            <w:hideMark/>
          </w:tcPr>
          <w:p w14:paraId="4A766588"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-6.42%</w:t>
            </w:r>
          </w:p>
        </w:tc>
        <w:tc>
          <w:tcPr>
            <w:tcW w:w="1328" w:type="dxa"/>
            <w:tcBorders>
              <w:top w:val="single" w:sz="12" w:space="0" w:color="FFFFFF"/>
              <w:left w:val="single" w:sz="4" w:space="0" w:color="FFFFFF"/>
              <w:bottom w:val="nil"/>
              <w:right w:val="nil"/>
            </w:tcBorders>
            <w:shd w:val="clear" w:color="B4C6E7" w:fill="B4C6E7"/>
            <w:noWrap/>
            <w:hideMark/>
          </w:tcPr>
          <w:p w14:paraId="3B21F0F7"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245</w:t>
            </w:r>
          </w:p>
        </w:tc>
        <w:tc>
          <w:tcPr>
            <w:tcW w:w="1428" w:type="dxa"/>
            <w:tcBorders>
              <w:top w:val="single" w:sz="12" w:space="0" w:color="FFFFFF"/>
              <w:left w:val="single" w:sz="4" w:space="0" w:color="FFFFFF"/>
              <w:bottom w:val="nil"/>
              <w:right w:val="nil"/>
            </w:tcBorders>
            <w:shd w:val="clear" w:color="B4C6E7" w:fill="B4C6E7"/>
            <w:noWrap/>
            <w:hideMark/>
          </w:tcPr>
          <w:p w14:paraId="2026166A"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3985</w:t>
            </w:r>
          </w:p>
        </w:tc>
      </w:tr>
      <w:tr w:rsidR="00941B1A" w:rsidRPr="00941B1A" w14:paraId="6F9FE585" w14:textId="77777777" w:rsidTr="00941B1A">
        <w:trPr>
          <w:trHeight w:val="290"/>
        </w:trPr>
        <w:tc>
          <w:tcPr>
            <w:tcW w:w="952" w:type="dxa"/>
            <w:tcBorders>
              <w:top w:val="single" w:sz="4" w:space="0" w:color="FFFFFF"/>
              <w:left w:val="nil"/>
              <w:bottom w:val="nil"/>
              <w:right w:val="nil"/>
            </w:tcBorders>
            <w:shd w:val="clear" w:color="D9E1F2" w:fill="D9E1F2"/>
            <w:noWrap/>
            <w:vAlign w:val="bottom"/>
            <w:hideMark/>
          </w:tcPr>
          <w:p w14:paraId="7A1CCD9A" w14:textId="77777777" w:rsidR="00941B1A" w:rsidRPr="00941B1A" w:rsidRDefault="00941B1A" w:rsidP="00941B1A">
            <w:pPr>
              <w:spacing w:after="0" w:line="240" w:lineRule="auto"/>
              <w:rPr>
                <w:rFonts w:eastAsia="Times New Roman"/>
                <w:color w:val="000000"/>
                <w:sz w:val="20"/>
                <w:szCs w:val="20"/>
                <w:lang w:val="en-CA" w:eastAsia="en-CA"/>
              </w:rPr>
            </w:pPr>
            <w:r w:rsidRPr="00941B1A">
              <w:rPr>
                <w:rFonts w:eastAsia="Times New Roman"/>
                <w:color w:val="000000"/>
                <w:sz w:val="20"/>
                <w:szCs w:val="20"/>
                <w:lang w:val="en-CA" w:eastAsia="en-CA"/>
              </w:rPr>
              <w:t>Entity 2</w:t>
            </w:r>
          </w:p>
        </w:tc>
        <w:tc>
          <w:tcPr>
            <w:tcW w:w="1009" w:type="dxa"/>
            <w:tcBorders>
              <w:top w:val="single" w:sz="4" w:space="0" w:color="FFFFFF"/>
              <w:left w:val="single" w:sz="4" w:space="0" w:color="FFFFFF"/>
              <w:bottom w:val="nil"/>
              <w:right w:val="nil"/>
            </w:tcBorders>
            <w:shd w:val="clear" w:color="D9E1F2" w:fill="D9E1F2"/>
            <w:noWrap/>
            <w:vAlign w:val="bottom"/>
            <w:hideMark/>
          </w:tcPr>
          <w:p w14:paraId="3E088774" w14:textId="77777777" w:rsidR="00941B1A" w:rsidRPr="00941B1A" w:rsidRDefault="00941B1A" w:rsidP="00941B1A">
            <w:pPr>
              <w:spacing w:after="0" w:line="240" w:lineRule="auto"/>
              <w:rPr>
                <w:rFonts w:eastAsia="Times New Roman"/>
                <w:color w:val="000000"/>
                <w:sz w:val="20"/>
                <w:szCs w:val="20"/>
                <w:lang w:val="en-CA" w:eastAsia="en-CA"/>
              </w:rPr>
            </w:pPr>
            <w:r w:rsidRPr="00941B1A">
              <w:rPr>
                <w:rFonts w:eastAsia="Times New Roman"/>
                <w:color w:val="000000"/>
                <w:sz w:val="20"/>
                <w:szCs w:val="20"/>
                <w:lang w:val="en-CA" w:eastAsia="en-CA"/>
              </w:rPr>
              <w:t>Group B</w:t>
            </w:r>
          </w:p>
        </w:tc>
        <w:tc>
          <w:tcPr>
            <w:tcW w:w="1640" w:type="dxa"/>
            <w:tcBorders>
              <w:top w:val="single" w:sz="4" w:space="0" w:color="FFFFFF"/>
              <w:left w:val="single" w:sz="4" w:space="0" w:color="FFFFFF"/>
              <w:bottom w:val="nil"/>
              <w:right w:val="nil"/>
            </w:tcBorders>
            <w:shd w:val="clear" w:color="D9E1F2" w:fill="D9E1F2"/>
            <w:noWrap/>
            <w:vAlign w:val="bottom"/>
            <w:hideMark/>
          </w:tcPr>
          <w:p w14:paraId="68414661"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$1,558,040,300</w:t>
            </w:r>
          </w:p>
        </w:tc>
        <w:tc>
          <w:tcPr>
            <w:tcW w:w="1150" w:type="dxa"/>
            <w:tcBorders>
              <w:top w:val="single" w:sz="4" w:space="0" w:color="FFFFFF"/>
              <w:left w:val="single" w:sz="4" w:space="0" w:color="FFFFFF"/>
              <w:bottom w:val="nil"/>
              <w:right w:val="nil"/>
            </w:tcBorders>
            <w:shd w:val="clear" w:color="D9E1F2" w:fill="D9E1F2"/>
            <w:noWrap/>
            <w:vAlign w:val="bottom"/>
            <w:hideMark/>
          </w:tcPr>
          <w:p w14:paraId="2B35DDE4"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20306</w:t>
            </w:r>
          </w:p>
        </w:tc>
        <w:tc>
          <w:tcPr>
            <w:tcW w:w="1150" w:type="dxa"/>
            <w:tcBorders>
              <w:top w:val="single" w:sz="4" w:space="0" w:color="FFFFFF"/>
              <w:left w:val="single" w:sz="4" w:space="0" w:color="FFFFFF"/>
              <w:bottom w:val="nil"/>
              <w:right w:val="nil"/>
            </w:tcBorders>
            <w:shd w:val="clear" w:color="D9E1F2" w:fill="D9E1F2"/>
            <w:noWrap/>
            <w:vAlign w:val="bottom"/>
            <w:hideMark/>
          </w:tcPr>
          <w:p w14:paraId="4C8E47D3"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20519</w:t>
            </w:r>
          </w:p>
        </w:tc>
        <w:tc>
          <w:tcPr>
            <w:tcW w:w="872" w:type="dxa"/>
            <w:tcBorders>
              <w:top w:val="single" w:sz="4" w:space="0" w:color="FFFFFF"/>
              <w:left w:val="single" w:sz="4" w:space="0" w:color="FFFFFF"/>
              <w:bottom w:val="nil"/>
              <w:right w:val="nil"/>
            </w:tcBorders>
            <w:shd w:val="clear" w:color="D9E1F2" w:fill="D9E1F2"/>
            <w:noWrap/>
            <w:vAlign w:val="bottom"/>
            <w:hideMark/>
          </w:tcPr>
          <w:p w14:paraId="096634E2"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-1.04%</w:t>
            </w:r>
          </w:p>
        </w:tc>
        <w:tc>
          <w:tcPr>
            <w:tcW w:w="1328" w:type="dxa"/>
            <w:tcBorders>
              <w:top w:val="single" w:sz="4" w:space="0" w:color="FFFFFF"/>
              <w:left w:val="single" w:sz="4" w:space="0" w:color="FFFFFF"/>
              <w:bottom w:val="nil"/>
              <w:right w:val="nil"/>
            </w:tcBorders>
            <w:shd w:val="clear" w:color="D9E1F2" w:fill="D9E1F2"/>
            <w:noWrap/>
            <w:vAlign w:val="bottom"/>
            <w:hideMark/>
          </w:tcPr>
          <w:p w14:paraId="310783AA"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1030</w:t>
            </w:r>
          </w:p>
        </w:tc>
        <w:tc>
          <w:tcPr>
            <w:tcW w:w="1428" w:type="dxa"/>
            <w:tcBorders>
              <w:top w:val="single" w:sz="4" w:space="0" w:color="FFFFFF"/>
              <w:left w:val="single" w:sz="4" w:space="0" w:color="FFFFFF"/>
              <w:bottom w:val="nil"/>
              <w:right w:val="nil"/>
            </w:tcBorders>
            <w:shd w:val="clear" w:color="D9E1F2" w:fill="D9E1F2"/>
            <w:noWrap/>
            <w:vAlign w:val="bottom"/>
            <w:hideMark/>
          </w:tcPr>
          <w:p w14:paraId="0852E821"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18810</w:t>
            </w:r>
          </w:p>
        </w:tc>
      </w:tr>
      <w:tr w:rsidR="00941B1A" w:rsidRPr="00941B1A" w14:paraId="178E4564" w14:textId="77777777" w:rsidTr="00941B1A">
        <w:trPr>
          <w:trHeight w:val="290"/>
        </w:trPr>
        <w:tc>
          <w:tcPr>
            <w:tcW w:w="952" w:type="dxa"/>
            <w:tcBorders>
              <w:top w:val="single" w:sz="4" w:space="0" w:color="FFFFFF"/>
              <w:left w:val="nil"/>
              <w:bottom w:val="nil"/>
              <w:right w:val="nil"/>
            </w:tcBorders>
            <w:shd w:val="clear" w:color="B4C6E7" w:fill="B4C6E7"/>
            <w:noWrap/>
            <w:vAlign w:val="bottom"/>
            <w:hideMark/>
          </w:tcPr>
          <w:p w14:paraId="64350D9C" w14:textId="77777777" w:rsidR="00941B1A" w:rsidRPr="00941B1A" w:rsidRDefault="00941B1A" w:rsidP="00941B1A">
            <w:pPr>
              <w:spacing w:after="0" w:line="240" w:lineRule="auto"/>
              <w:rPr>
                <w:rFonts w:eastAsia="Times New Roman"/>
                <w:color w:val="000000"/>
                <w:sz w:val="20"/>
                <w:szCs w:val="20"/>
                <w:lang w:val="en-CA" w:eastAsia="en-CA"/>
              </w:rPr>
            </w:pPr>
            <w:r w:rsidRPr="00941B1A">
              <w:rPr>
                <w:rFonts w:eastAsia="Times New Roman"/>
                <w:color w:val="000000"/>
                <w:sz w:val="20"/>
                <w:szCs w:val="20"/>
                <w:lang w:val="en-CA" w:eastAsia="en-CA"/>
              </w:rPr>
              <w:t>Entity 3</w:t>
            </w:r>
          </w:p>
        </w:tc>
        <w:tc>
          <w:tcPr>
            <w:tcW w:w="1009" w:type="dxa"/>
            <w:tcBorders>
              <w:top w:val="single" w:sz="4" w:space="0" w:color="FFFFFF"/>
              <w:left w:val="single" w:sz="4" w:space="0" w:color="FFFFFF"/>
              <w:bottom w:val="nil"/>
              <w:right w:val="nil"/>
            </w:tcBorders>
            <w:shd w:val="clear" w:color="B4C6E7" w:fill="B4C6E7"/>
            <w:noWrap/>
            <w:vAlign w:val="bottom"/>
            <w:hideMark/>
          </w:tcPr>
          <w:p w14:paraId="625801E5" w14:textId="77777777" w:rsidR="00941B1A" w:rsidRPr="00941B1A" w:rsidRDefault="00941B1A" w:rsidP="00941B1A">
            <w:pPr>
              <w:spacing w:after="0" w:line="240" w:lineRule="auto"/>
              <w:rPr>
                <w:rFonts w:eastAsia="Times New Roman"/>
                <w:color w:val="000000"/>
                <w:sz w:val="20"/>
                <w:szCs w:val="20"/>
                <w:lang w:val="en-CA" w:eastAsia="en-CA"/>
              </w:rPr>
            </w:pPr>
            <w:r w:rsidRPr="00941B1A">
              <w:rPr>
                <w:rFonts w:eastAsia="Times New Roman"/>
                <w:color w:val="000000"/>
                <w:sz w:val="20"/>
                <w:szCs w:val="20"/>
                <w:lang w:val="en-CA" w:eastAsia="en-CA"/>
              </w:rPr>
              <w:t>Group A</w:t>
            </w:r>
          </w:p>
        </w:tc>
        <w:tc>
          <w:tcPr>
            <w:tcW w:w="1640" w:type="dxa"/>
            <w:tcBorders>
              <w:top w:val="single" w:sz="4" w:space="0" w:color="FFFFFF"/>
              <w:left w:val="single" w:sz="4" w:space="0" w:color="FFFFFF"/>
              <w:bottom w:val="nil"/>
              <w:right w:val="nil"/>
            </w:tcBorders>
            <w:shd w:val="clear" w:color="B4C6E7" w:fill="B4C6E7"/>
            <w:noWrap/>
            <w:vAlign w:val="bottom"/>
            <w:hideMark/>
          </w:tcPr>
          <w:p w14:paraId="654DA16E"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$328,755,200</w:t>
            </w:r>
          </w:p>
        </w:tc>
        <w:tc>
          <w:tcPr>
            <w:tcW w:w="1150" w:type="dxa"/>
            <w:tcBorders>
              <w:top w:val="single" w:sz="4" w:space="0" w:color="FFFFFF"/>
              <w:left w:val="single" w:sz="4" w:space="0" w:color="FFFFFF"/>
              <w:bottom w:val="nil"/>
              <w:right w:val="nil"/>
            </w:tcBorders>
            <w:shd w:val="clear" w:color="B4C6E7" w:fill="B4C6E7"/>
            <w:noWrap/>
            <w:vAlign w:val="bottom"/>
            <w:hideMark/>
          </w:tcPr>
          <w:p w14:paraId="6E36E0BC"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5906</w:t>
            </w:r>
          </w:p>
        </w:tc>
        <w:tc>
          <w:tcPr>
            <w:tcW w:w="1150" w:type="dxa"/>
            <w:tcBorders>
              <w:top w:val="single" w:sz="4" w:space="0" w:color="FFFFFF"/>
              <w:left w:val="single" w:sz="4" w:space="0" w:color="FFFFFF"/>
              <w:bottom w:val="nil"/>
              <w:right w:val="nil"/>
            </w:tcBorders>
            <w:shd w:val="clear" w:color="B4C6E7" w:fill="B4C6E7"/>
            <w:noWrap/>
            <w:vAlign w:val="bottom"/>
            <w:hideMark/>
          </w:tcPr>
          <w:p w14:paraId="4A587C17"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6039</w:t>
            </w:r>
          </w:p>
        </w:tc>
        <w:tc>
          <w:tcPr>
            <w:tcW w:w="872" w:type="dxa"/>
            <w:tcBorders>
              <w:top w:val="single" w:sz="4" w:space="0" w:color="FFFFFF"/>
              <w:left w:val="single" w:sz="4" w:space="0" w:color="FFFFFF"/>
              <w:bottom w:val="nil"/>
              <w:right w:val="nil"/>
            </w:tcBorders>
            <w:shd w:val="clear" w:color="B4C6E7" w:fill="B4C6E7"/>
            <w:noWrap/>
            <w:vAlign w:val="bottom"/>
            <w:hideMark/>
          </w:tcPr>
          <w:p w14:paraId="3F9D587F"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-2.20%</w:t>
            </w:r>
          </w:p>
        </w:tc>
        <w:tc>
          <w:tcPr>
            <w:tcW w:w="1328" w:type="dxa"/>
            <w:tcBorders>
              <w:top w:val="single" w:sz="4" w:space="0" w:color="FFFFFF"/>
              <w:left w:val="single" w:sz="4" w:space="0" w:color="FFFFFF"/>
              <w:bottom w:val="nil"/>
              <w:right w:val="nil"/>
            </w:tcBorders>
            <w:shd w:val="clear" w:color="B4C6E7" w:fill="B4C6E7"/>
            <w:noWrap/>
            <w:vAlign w:val="bottom"/>
            <w:hideMark/>
          </w:tcPr>
          <w:p w14:paraId="1258C752"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255</w:t>
            </w:r>
          </w:p>
        </w:tc>
        <w:tc>
          <w:tcPr>
            <w:tcW w:w="1428" w:type="dxa"/>
            <w:tcBorders>
              <w:top w:val="single" w:sz="4" w:space="0" w:color="FFFFFF"/>
              <w:left w:val="single" w:sz="4" w:space="0" w:color="FFFFFF"/>
              <w:bottom w:val="nil"/>
              <w:right w:val="nil"/>
            </w:tcBorders>
            <w:shd w:val="clear" w:color="B4C6E7" w:fill="B4C6E7"/>
            <w:noWrap/>
            <w:vAlign w:val="bottom"/>
            <w:hideMark/>
          </w:tcPr>
          <w:p w14:paraId="72E35DB1"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5480</w:t>
            </w:r>
          </w:p>
        </w:tc>
      </w:tr>
      <w:tr w:rsidR="00941B1A" w:rsidRPr="00941B1A" w14:paraId="0931EA7D" w14:textId="77777777" w:rsidTr="00941B1A">
        <w:trPr>
          <w:trHeight w:val="290"/>
        </w:trPr>
        <w:tc>
          <w:tcPr>
            <w:tcW w:w="952" w:type="dxa"/>
            <w:tcBorders>
              <w:top w:val="single" w:sz="4" w:space="0" w:color="FFFFFF"/>
              <w:left w:val="nil"/>
              <w:bottom w:val="nil"/>
              <w:right w:val="nil"/>
            </w:tcBorders>
            <w:shd w:val="clear" w:color="D9E1F2" w:fill="D9E1F2"/>
            <w:noWrap/>
            <w:vAlign w:val="bottom"/>
            <w:hideMark/>
          </w:tcPr>
          <w:p w14:paraId="4808CAFE" w14:textId="77777777" w:rsidR="00941B1A" w:rsidRPr="00941B1A" w:rsidRDefault="00941B1A" w:rsidP="00941B1A">
            <w:pPr>
              <w:spacing w:after="0" w:line="240" w:lineRule="auto"/>
              <w:rPr>
                <w:rFonts w:eastAsia="Times New Roman"/>
                <w:color w:val="000000"/>
                <w:sz w:val="20"/>
                <w:szCs w:val="20"/>
                <w:lang w:val="en-CA" w:eastAsia="en-CA"/>
              </w:rPr>
            </w:pPr>
            <w:r w:rsidRPr="00941B1A">
              <w:rPr>
                <w:rFonts w:eastAsia="Times New Roman"/>
                <w:color w:val="000000"/>
                <w:sz w:val="20"/>
                <w:szCs w:val="20"/>
                <w:lang w:val="en-CA" w:eastAsia="en-CA"/>
              </w:rPr>
              <w:t>Entity 4</w:t>
            </w:r>
          </w:p>
        </w:tc>
        <w:tc>
          <w:tcPr>
            <w:tcW w:w="1009" w:type="dxa"/>
            <w:tcBorders>
              <w:top w:val="single" w:sz="4" w:space="0" w:color="FFFFFF"/>
              <w:left w:val="single" w:sz="4" w:space="0" w:color="FFFFFF"/>
              <w:bottom w:val="nil"/>
              <w:right w:val="nil"/>
            </w:tcBorders>
            <w:shd w:val="clear" w:color="D9E1F2" w:fill="D9E1F2"/>
            <w:noWrap/>
            <w:vAlign w:val="bottom"/>
            <w:hideMark/>
          </w:tcPr>
          <w:p w14:paraId="14605EEC" w14:textId="77777777" w:rsidR="00941B1A" w:rsidRPr="00941B1A" w:rsidRDefault="00941B1A" w:rsidP="00941B1A">
            <w:pPr>
              <w:spacing w:after="0" w:line="240" w:lineRule="auto"/>
              <w:rPr>
                <w:rFonts w:eastAsia="Times New Roman"/>
                <w:color w:val="000000"/>
                <w:sz w:val="20"/>
                <w:szCs w:val="20"/>
                <w:lang w:val="en-CA" w:eastAsia="en-CA"/>
              </w:rPr>
            </w:pPr>
            <w:r w:rsidRPr="00941B1A">
              <w:rPr>
                <w:rFonts w:eastAsia="Times New Roman"/>
                <w:color w:val="000000"/>
                <w:sz w:val="20"/>
                <w:szCs w:val="20"/>
                <w:lang w:val="en-CA" w:eastAsia="en-CA"/>
              </w:rPr>
              <w:t>Group A</w:t>
            </w:r>
          </w:p>
        </w:tc>
        <w:tc>
          <w:tcPr>
            <w:tcW w:w="1640" w:type="dxa"/>
            <w:tcBorders>
              <w:top w:val="single" w:sz="4" w:space="0" w:color="FFFFFF"/>
              <w:left w:val="single" w:sz="4" w:space="0" w:color="FFFFFF"/>
              <w:bottom w:val="nil"/>
              <w:right w:val="nil"/>
            </w:tcBorders>
            <w:shd w:val="clear" w:color="D9E1F2" w:fill="D9E1F2"/>
            <w:noWrap/>
            <w:vAlign w:val="bottom"/>
            <w:hideMark/>
          </w:tcPr>
          <w:p w14:paraId="502645BF"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$870,714,800</w:t>
            </w:r>
          </w:p>
        </w:tc>
        <w:tc>
          <w:tcPr>
            <w:tcW w:w="1150" w:type="dxa"/>
            <w:tcBorders>
              <w:top w:val="single" w:sz="4" w:space="0" w:color="FFFFFF"/>
              <w:left w:val="single" w:sz="4" w:space="0" w:color="FFFFFF"/>
              <w:bottom w:val="nil"/>
              <w:right w:val="nil"/>
            </w:tcBorders>
            <w:shd w:val="clear" w:color="D9E1F2" w:fill="D9E1F2"/>
            <w:noWrap/>
            <w:vAlign w:val="bottom"/>
            <w:hideMark/>
          </w:tcPr>
          <w:p w14:paraId="674E8B33"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8992</w:t>
            </w:r>
          </w:p>
        </w:tc>
        <w:tc>
          <w:tcPr>
            <w:tcW w:w="1150" w:type="dxa"/>
            <w:tcBorders>
              <w:top w:val="single" w:sz="4" w:space="0" w:color="FFFFFF"/>
              <w:left w:val="single" w:sz="4" w:space="0" w:color="FFFFFF"/>
              <w:bottom w:val="nil"/>
              <w:right w:val="nil"/>
            </w:tcBorders>
            <w:shd w:val="clear" w:color="D9E1F2" w:fill="D9E1F2"/>
            <w:noWrap/>
            <w:vAlign w:val="bottom"/>
            <w:hideMark/>
          </w:tcPr>
          <w:p w14:paraId="4B3F0310"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9550</w:t>
            </w:r>
          </w:p>
        </w:tc>
        <w:tc>
          <w:tcPr>
            <w:tcW w:w="872" w:type="dxa"/>
            <w:tcBorders>
              <w:top w:val="single" w:sz="4" w:space="0" w:color="FFFFFF"/>
              <w:left w:val="single" w:sz="4" w:space="0" w:color="FFFFFF"/>
              <w:bottom w:val="nil"/>
              <w:right w:val="nil"/>
            </w:tcBorders>
            <w:shd w:val="clear" w:color="D9E1F2" w:fill="D9E1F2"/>
            <w:noWrap/>
            <w:vAlign w:val="bottom"/>
            <w:hideMark/>
          </w:tcPr>
          <w:p w14:paraId="4B6546FE"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-5.84%</w:t>
            </w:r>
          </w:p>
        </w:tc>
        <w:tc>
          <w:tcPr>
            <w:tcW w:w="1328" w:type="dxa"/>
            <w:tcBorders>
              <w:top w:val="single" w:sz="4" w:space="0" w:color="FFFFFF"/>
              <w:left w:val="single" w:sz="4" w:space="0" w:color="FFFFFF"/>
              <w:bottom w:val="nil"/>
              <w:right w:val="nil"/>
            </w:tcBorders>
            <w:shd w:val="clear" w:color="D9E1F2" w:fill="D9E1F2"/>
            <w:noWrap/>
            <w:vAlign w:val="bottom"/>
            <w:hideMark/>
          </w:tcPr>
          <w:p w14:paraId="0761515F"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1385</w:t>
            </w:r>
          </w:p>
        </w:tc>
        <w:tc>
          <w:tcPr>
            <w:tcW w:w="1428" w:type="dxa"/>
            <w:tcBorders>
              <w:top w:val="single" w:sz="4" w:space="0" w:color="FFFFFF"/>
              <w:left w:val="single" w:sz="4" w:space="0" w:color="FFFFFF"/>
              <w:bottom w:val="nil"/>
              <w:right w:val="nil"/>
            </w:tcBorders>
            <w:shd w:val="clear" w:color="D9E1F2" w:fill="D9E1F2"/>
            <w:noWrap/>
            <w:vAlign w:val="bottom"/>
            <w:hideMark/>
          </w:tcPr>
          <w:p w14:paraId="3B7B6DD9"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7430</w:t>
            </w:r>
          </w:p>
        </w:tc>
      </w:tr>
      <w:tr w:rsidR="00941B1A" w:rsidRPr="00941B1A" w14:paraId="677AA75B" w14:textId="77777777" w:rsidTr="00941B1A">
        <w:trPr>
          <w:trHeight w:val="290"/>
        </w:trPr>
        <w:tc>
          <w:tcPr>
            <w:tcW w:w="952" w:type="dxa"/>
            <w:tcBorders>
              <w:top w:val="single" w:sz="4" w:space="0" w:color="FFFFFF"/>
              <w:left w:val="nil"/>
              <w:bottom w:val="nil"/>
              <w:right w:val="nil"/>
            </w:tcBorders>
            <w:shd w:val="clear" w:color="B4C6E7" w:fill="B4C6E7"/>
            <w:noWrap/>
            <w:vAlign w:val="bottom"/>
            <w:hideMark/>
          </w:tcPr>
          <w:p w14:paraId="5AFD69EB" w14:textId="77777777" w:rsidR="00941B1A" w:rsidRPr="00941B1A" w:rsidRDefault="00941B1A" w:rsidP="00941B1A">
            <w:pPr>
              <w:spacing w:after="0" w:line="240" w:lineRule="auto"/>
              <w:rPr>
                <w:rFonts w:eastAsia="Times New Roman"/>
                <w:color w:val="000000"/>
                <w:sz w:val="20"/>
                <w:szCs w:val="20"/>
                <w:lang w:val="en-CA" w:eastAsia="en-CA"/>
              </w:rPr>
            </w:pPr>
            <w:r w:rsidRPr="00941B1A">
              <w:rPr>
                <w:rFonts w:eastAsia="Times New Roman"/>
                <w:color w:val="000000"/>
                <w:sz w:val="20"/>
                <w:szCs w:val="20"/>
                <w:lang w:val="en-CA" w:eastAsia="en-CA"/>
              </w:rPr>
              <w:t>Entity 5</w:t>
            </w:r>
          </w:p>
        </w:tc>
        <w:tc>
          <w:tcPr>
            <w:tcW w:w="1009" w:type="dxa"/>
            <w:tcBorders>
              <w:top w:val="single" w:sz="4" w:space="0" w:color="FFFFFF"/>
              <w:left w:val="single" w:sz="4" w:space="0" w:color="FFFFFF"/>
              <w:bottom w:val="nil"/>
              <w:right w:val="nil"/>
            </w:tcBorders>
            <w:shd w:val="clear" w:color="B4C6E7" w:fill="B4C6E7"/>
            <w:noWrap/>
            <w:vAlign w:val="bottom"/>
            <w:hideMark/>
          </w:tcPr>
          <w:p w14:paraId="46D5322A" w14:textId="77777777" w:rsidR="00941B1A" w:rsidRPr="00941B1A" w:rsidRDefault="00941B1A" w:rsidP="00941B1A">
            <w:pPr>
              <w:spacing w:after="0" w:line="240" w:lineRule="auto"/>
              <w:rPr>
                <w:rFonts w:eastAsia="Times New Roman"/>
                <w:color w:val="000000"/>
                <w:sz w:val="20"/>
                <w:szCs w:val="20"/>
                <w:lang w:val="en-CA" w:eastAsia="en-CA"/>
              </w:rPr>
            </w:pPr>
            <w:r w:rsidRPr="00941B1A">
              <w:rPr>
                <w:rFonts w:eastAsia="Times New Roman"/>
                <w:color w:val="000000"/>
                <w:sz w:val="20"/>
                <w:szCs w:val="20"/>
                <w:lang w:val="en-CA" w:eastAsia="en-CA"/>
              </w:rPr>
              <w:t>Group A</w:t>
            </w:r>
          </w:p>
        </w:tc>
        <w:tc>
          <w:tcPr>
            <w:tcW w:w="1640" w:type="dxa"/>
            <w:tcBorders>
              <w:top w:val="single" w:sz="4" w:space="0" w:color="FFFFFF"/>
              <w:left w:val="single" w:sz="4" w:space="0" w:color="FFFFFF"/>
              <w:bottom w:val="nil"/>
              <w:right w:val="nil"/>
            </w:tcBorders>
            <w:shd w:val="clear" w:color="B4C6E7" w:fill="B4C6E7"/>
            <w:noWrap/>
            <w:vAlign w:val="bottom"/>
            <w:hideMark/>
          </w:tcPr>
          <w:p w14:paraId="7BF24E45"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$556,189,500</w:t>
            </w:r>
          </w:p>
        </w:tc>
        <w:tc>
          <w:tcPr>
            <w:tcW w:w="1150" w:type="dxa"/>
            <w:tcBorders>
              <w:top w:val="single" w:sz="4" w:space="0" w:color="FFFFFF"/>
              <w:left w:val="single" w:sz="4" w:space="0" w:color="FFFFFF"/>
              <w:bottom w:val="nil"/>
              <w:right w:val="nil"/>
            </w:tcBorders>
            <w:shd w:val="clear" w:color="B4C6E7" w:fill="B4C6E7"/>
            <w:noWrap/>
            <w:vAlign w:val="bottom"/>
            <w:hideMark/>
          </w:tcPr>
          <w:p w14:paraId="19B1A52E"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9429</w:t>
            </w:r>
          </w:p>
        </w:tc>
        <w:tc>
          <w:tcPr>
            <w:tcW w:w="1150" w:type="dxa"/>
            <w:tcBorders>
              <w:top w:val="single" w:sz="4" w:space="0" w:color="FFFFFF"/>
              <w:left w:val="single" w:sz="4" w:space="0" w:color="FFFFFF"/>
              <w:bottom w:val="nil"/>
              <w:right w:val="nil"/>
            </w:tcBorders>
            <w:shd w:val="clear" w:color="B4C6E7" w:fill="B4C6E7"/>
            <w:noWrap/>
            <w:vAlign w:val="bottom"/>
            <w:hideMark/>
          </w:tcPr>
          <w:p w14:paraId="4F1A8FC8"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10151</w:t>
            </w:r>
          </w:p>
        </w:tc>
        <w:tc>
          <w:tcPr>
            <w:tcW w:w="872" w:type="dxa"/>
            <w:tcBorders>
              <w:top w:val="single" w:sz="4" w:space="0" w:color="FFFFFF"/>
              <w:left w:val="single" w:sz="4" w:space="0" w:color="FFFFFF"/>
              <w:bottom w:val="nil"/>
              <w:right w:val="nil"/>
            </w:tcBorders>
            <w:shd w:val="clear" w:color="B4C6E7" w:fill="B4C6E7"/>
            <w:noWrap/>
            <w:vAlign w:val="bottom"/>
            <w:hideMark/>
          </w:tcPr>
          <w:p w14:paraId="490ABCBA"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-7.11%</w:t>
            </w:r>
          </w:p>
        </w:tc>
        <w:tc>
          <w:tcPr>
            <w:tcW w:w="1328" w:type="dxa"/>
            <w:tcBorders>
              <w:top w:val="single" w:sz="4" w:space="0" w:color="FFFFFF"/>
              <w:left w:val="single" w:sz="4" w:space="0" w:color="FFFFFF"/>
              <w:bottom w:val="nil"/>
              <w:right w:val="nil"/>
            </w:tcBorders>
            <w:shd w:val="clear" w:color="B4C6E7" w:fill="B4C6E7"/>
            <w:noWrap/>
            <w:vAlign w:val="bottom"/>
            <w:hideMark/>
          </w:tcPr>
          <w:p w14:paraId="3BF719F1"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8115</w:t>
            </w:r>
          </w:p>
        </w:tc>
        <w:tc>
          <w:tcPr>
            <w:tcW w:w="1428" w:type="dxa"/>
            <w:tcBorders>
              <w:top w:val="single" w:sz="4" w:space="0" w:color="FFFFFF"/>
              <w:left w:val="single" w:sz="4" w:space="0" w:color="FFFFFF"/>
              <w:bottom w:val="nil"/>
              <w:right w:val="nil"/>
            </w:tcBorders>
            <w:shd w:val="clear" w:color="B4C6E7" w:fill="B4C6E7"/>
            <w:noWrap/>
            <w:vAlign w:val="bottom"/>
            <w:hideMark/>
          </w:tcPr>
          <w:p w14:paraId="11AAFB62"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1600</w:t>
            </w:r>
          </w:p>
        </w:tc>
      </w:tr>
      <w:tr w:rsidR="00941B1A" w:rsidRPr="00941B1A" w14:paraId="13FEFFDE" w14:textId="77777777" w:rsidTr="00941B1A">
        <w:trPr>
          <w:trHeight w:val="290"/>
        </w:trPr>
        <w:tc>
          <w:tcPr>
            <w:tcW w:w="952" w:type="dxa"/>
            <w:tcBorders>
              <w:top w:val="single" w:sz="4" w:space="0" w:color="FFFFFF"/>
              <w:left w:val="nil"/>
              <w:bottom w:val="nil"/>
              <w:right w:val="nil"/>
            </w:tcBorders>
            <w:shd w:val="clear" w:color="D9E1F2" w:fill="D9E1F2"/>
            <w:noWrap/>
            <w:vAlign w:val="bottom"/>
            <w:hideMark/>
          </w:tcPr>
          <w:p w14:paraId="67733635" w14:textId="77777777" w:rsidR="00941B1A" w:rsidRPr="00941B1A" w:rsidRDefault="00941B1A" w:rsidP="00941B1A">
            <w:pPr>
              <w:spacing w:after="0" w:line="240" w:lineRule="auto"/>
              <w:rPr>
                <w:rFonts w:eastAsia="Times New Roman"/>
                <w:color w:val="000000"/>
                <w:sz w:val="20"/>
                <w:szCs w:val="20"/>
                <w:lang w:val="en-CA" w:eastAsia="en-CA"/>
              </w:rPr>
            </w:pPr>
            <w:r w:rsidRPr="00941B1A">
              <w:rPr>
                <w:rFonts w:eastAsia="Times New Roman"/>
                <w:color w:val="000000"/>
                <w:sz w:val="20"/>
                <w:szCs w:val="20"/>
                <w:lang w:val="en-CA" w:eastAsia="en-CA"/>
              </w:rPr>
              <w:t>Entity 6</w:t>
            </w:r>
          </w:p>
        </w:tc>
        <w:tc>
          <w:tcPr>
            <w:tcW w:w="1009" w:type="dxa"/>
            <w:tcBorders>
              <w:top w:val="single" w:sz="4" w:space="0" w:color="FFFFFF"/>
              <w:left w:val="single" w:sz="4" w:space="0" w:color="FFFFFF"/>
              <w:bottom w:val="nil"/>
              <w:right w:val="nil"/>
            </w:tcBorders>
            <w:shd w:val="clear" w:color="D9E1F2" w:fill="D9E1F2"/>
            <w:noWrap/>
            <w:vAlign w:val="bottom"/>
            <w:hideMark/>
          </w:tcPr>
          <w:p w14:paraId="49F37B86" w14:textId="77777777" w:rsidR="00941B1A" w:rsidRPr="00941B1A" w:rsidRDefault="00941B1A" w:rsidP="00941B1A">
            <w:pPr>
              <w:spacing w:after="0" w:line="240" w:lineRule="auto"/>
              <w:rPr>
                <w:rFonts w:eastAsia="Times New Roman"/>
                <w:color w:val="000000"/>
                <w:sz w:val="20"/>
                <w:szCs w:val="20"/>
                <w:lang w:val="en-CA" w:eastAsia="en-CA"/>
              </w:rPr>
            </w:pPr>
            <w:r w:rsidRPr="00941B1A">
              <w:rPr>
                <w:rFonts w:eastAsia="Times New Roman"/>
                <w:color w:val="000000"/>
                <w:sz w:val="20"/>
                <w:szCs w:val="20"/>
                <w:lang w:val="en-CA" w:eastAsia="en-CA"/>
              </w:rPr>
              <w:t>Group A</w:t>
            </w:r>
          </w:p>
        </w:tc>
        <w:tc>
          <w:tcPr>
            <w:tcW w:w="1640" w:type="dxa"/>
            <w:tcBorders>
              <w:top w:val="single" w:sz="4" w:space="0" w:color="FFFFFF"/>
              <w:left w:val="single" w:sz="4" w:space="0" w:color="FFFFFF"/>
              <w:bottom w:val="nil"/>
              <w:right w:val="nil"/>
            </w:tcBorders>
            <w:shd w:val="clear" w:color="D9E1F2" w:fill="D9E1F2"/>
            <w:noWrap/>
            <w:vAlign w:val="bottom"/>
            <w:hideMark/>
          </w:tcPr>
          <w:p w14:paraId="1CD6AF94"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$385,385,800</w:t>
            </w:r>
          </w:p>
        </w:tc>
        <w:tc>
          <w:tcPr>
            <w:tcW w:w="1150" w:type="dxa"/>
            <w:tcBorders>
              <w:top w:val="single" w:sz="4" w:space="0" w:color="FFFFFF"/>
              <w:left w:val="single" w:sz="4" w:space="0" w:color="FFFFFF"/>
              <w:bottom w:val="nil"/>
              <w:right w:val="nil"/>
            </w:tcBorders>
            <w:shd w:val="clear" w:color="D9E1F2" w:fill="D9E1F2"/>
            <w:noWrap/>
            <w:vAlign w:val="bottom"/>
            <w:hideMark/>
          </w:tcPr>
          <w:p w14:paraId="731A89D1"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6403</w:t>
            </w:r>
          </w:p>
        </w:tc>
        <w:tc>
          <w:tcPr>
            <w:tcW w:w="1150" w:type="dxa"/>
            <w:tcBorders>
              <w:top w:val="single" w:sz="4" w:space="0" w:color="FFFFFF"/>
              <w:left w:val="single" w:sz="4" w:space="0" w:color="FFFFFF"/>
              <w:bottom w:val="nil"/>
              <w:right w:val="nil"/>
            </w:tcBorders>
            <w:shd w:val="clear" w:color="D9E1F2" w:fill="D9E1F2"/>
            <w:noWrap/>
            <w:vAlign w:val="bottom"/>
            <w:hideMark/>
          </w:tcPr>
          <w:p w14:paraId="5C261AF3"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6433</w:t>
            </w:r>
          </w:p>
        </w:tc>
        <w:tc>
          <w:tcPr>
            <w:tcW w:w="872" w:type="dxa"/>
            <w:tcBorders>
              <w:top w:val="single" w:sz="4" w:space="0" w:color="FFFFFF"/>
              <w:left w:val="single" w:sz="4" w:space="0" w:color="FFFFFF"/>
              <w:bottom w:val="nil"/>
              <w:right w:val="nil"/>
            </w:tcBorders>
            <w:shd w:val="clear" w:color="D9E1F2" w:fill="D9E1F2"/>
            <w:noWrap/>
            <w:vAlign w:val="bottom"/>
            <w:hideMark/>
          </w:tcPr>
          <w:p w14:paraId="3CE4B837"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-0.47%</w:t>
            </w:r>
          </w:p>
        </w:tc>
        <w:tc>
          <w:tcPr>
            <w:tcW w:w="1328" w:type="dxa"/>
            <w:tcBorders>
              <w:top w:val="single" w:sz="4" w:space="0" w:color="FFFFFF"/>
              <w:left w:val="single" w:sz="4" w:space="0" w:color="FFFFFF"/>
              <w:bottom w:val="nil"/>
              <w:right w:val="nil"/>
            </w:tcBorders>
            <w:shd w:val="clear" w:color="D9E1F2" w:fill="D9E1F2"/>
            <w:noWrap/>
            <w:vAlign w:val="bottom"/>
            <w:hideMark/>
          </w:tcPr>
          <w:p w14:paraId="2D7BEAF3"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445</w:t>
            </w:r>
          </w:p>
        </w:tc>
        <w:tc>
          <w:tcPr>
            <w:tcW w:w="1428" w:type="dxa"/>
            <w:tcBorders>
              <w:top w:val="single" w:sz="4" w:space="0" w:color="FFFFFF"/>
              <w:left w:val="single" w:sz="4" w:space="0" w:color="FFFFFF"/>
              <w:bottom w:val="nil"/>
              <w:right w:val="nil"/>
            </w:tcBorders>
            <w:shd w:val="clear" w:color="D9E1F2" w:fill="D9E1F2"/>
            <w:noWrap/>
            <w:vAlign w:val="bottom"/>
            <w:hideMark/>
          </w:tcPr>
          <w:p w14:paraId="05F1455F"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6205</w:t>
            </w:r>
          </w:p>
        </w:tc>
      </w:tr>
      <w:tr w:rsidR="00941B1A" w:rsidRPr="00941B1A" w14:paraId="2609CE76" w14:textId="77777777" w:rsidTr="00941B1A">
        <w:trPr>
          <w:trHeight w:val="290"/>
        </w:trPr>
        <w:tc>
          <w:tcPr>
            <w:tcW w:w="1961" w:type="dxa"/>
            <w:gridSpan w:val="2"/>
            <w:tcBorders>
              <w:top w:val="single" w:sz="4" w:space="0" w:color="FFFFFF"/>
              <w:left w:val="nil"/>
              <w:bottom w:val="nil"/>
              <w:right w:val="single" w:sz="4" w:space="0" w:color="FFFFFF"/>
            </w:tcBorders>
            <w:shd w:val="clear" w:color="B4C6E7" w:fill="B4C6E7"/>
            <w:noWrap/>
            <w:vAlign w:val="bottom"/>
            <w:hideMark/>
          </w:tcPr>
          <w:p w14:paraId="38AA9D86" w14:textId="77777777" w:rsidR="00941B1A" w:rsidRPr="00941B1A" w:rsidRDefault="00941B1A" w:rsidP="00941B1A">
            <w:pPr>
              <w:spacing w:after="0" w:line="240" w:lineRule="auto"/>
              <w:jc w:val="right"/>
              <w:rPr>
                <w:rFonts w:eastAsia="Times New Roman"/>
                <w:b/>
                <w:bCs/>
                <w:color w:val="000000"/>
                <w:sz w:val="20"/>
                <w:szCs w:val="20"/>
                <w:lang w:val="en-CA" w:eastAsia="en-CA"/>
              </w:rPr>
            </w:pPr>
            <w:r w:rsidRPr="00941B1A">
              <w:rPr>
                <w:rFonts w:eastAsia="Times New Roman"/>
                <w:b/>
                <w:bCs/>
                <w:color w:val="000000"/>
                <w:sz w:val="20"/>
                <w:szCs w:val="20"/>
                <w:lang w:val="en-CA" w:eastAsia="en-CA"/>
              </w:rPr>
              <w:t>Totals</w:t>
            </w:r>
          </w:p>
        </w:tc>
        <w:tc>
          <w:tcPr>
            <w:tcW w:w="1640" w:type="dxa"/>
            <w:tcBorders>
              <w:top w:val="single" w:sz="4" w:space="0" w:color="FFFFFF"/>
              <w:left w:val="nil"/>
              <w:bottom w:val="nil"/>
              <w:right w:val="nil"/>
            </w:tcBorders>
            <w:shd w:val="clear" w:color="B4C6E7" w:fill="B4C6E7"/>
            <w:vAlign w:val="center"/>
            <w:hideMark/>
          </w:tcPr>
          <w:p w14:paraId="0469E82A"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$4,019,298,000</w:t>
            </w:r>
          </w:p>
        </w:tc>
        <w:tc>
          <w:tcPr>
            <w:tcW w:w="1150" w:type="dxa"/>
            <w:tcBorders>
              <w:top w:val="single" w:sz="4" w:space="0" w:color="FFFFFF"/>
              <w:left w:val="single" w:sz="4" w:space="0" w:color="FFFFFF"/>
              <w:bottom w:val="nil"/>
              <w:right w:val="nil"/>
            </w:tcBorders>
            <w:shd w:val="clear" w:color="B4C6E7" w:fill="B4C6E7"/>
            <w:vAlign w:val="center"/>
            <w:hideMark/>
          </w:tcPr>
          <w:p w14:paraId="6DFC357F"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55440</w:t>
            </w:r>
          </w:p>
        </w:tc>
        <w:tc>
          <w:tcPr>
            <w:tcW w:w="1150" w:type="dxa"/>
            <w:tcBorders>
              <w:top w:val="single" w:sz="4" w:space="0" w:color="FFFFFF"/>
              <w:left w:val="single" w:sz="4" w:space="0" w:color="FFFFFF"/>
              <w:bottom w:val="nil"/>
              <w:right w:val="nil"/>
            </w:tcBorders>
            <w:shd w:val="clear" w:color="B4C6E7" w:fill="B4C6E7"/>
            <w:vAlign w:val="center"/>
            <w:hideMark/>
          </w:tcPr>
          <w:p w14:paraId="7F9D49B6"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57398</w:t>
            </w:r>
          </w:p>
        </w:tc>
        <w:tc>
          <w:tcPr>
            <w:tcW w:w="872" w:type="dxa"/>
            <w:tcBorders>
              <w:top w:val="single" w:sz="4" w:space="0" w:color="FFFFFF"/>
              <w:left w:val="single" w:sz="4" w:space="0" w:color="FFFFFF"/>
              <w:bottom w:val="nil"/>
              <w:right w:val="nil"/>
            </w:tcBorders>
            <w:shd w:val="clear" w:color="B4C6E7" w:fill="B4C6E7"/>
            <w:vAlign w:val="center"/>
            <w:hideMark/>
          </w:tcPr>
          <w:p w14:paraId="5021BFA1"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-3.41%</w:t>
            </w:r>
          </w:p>
        </w:tc>
        <w:tc>
          <w:tcPr>
            <w:tcW w:w="1328" w:type="dxa"/>
            <w:tcBorders>
              <w:top w:val="single" w:sz="4" w:space="0" w:color="FFFFFF"/>
              <w:left w:val="single" w:sz="4" w:space="0" w:color="FFFFFF"/>
              <w:bottom w:val="nil"/>
              <w:right w:val="nil"/>
            </w:tcBorders>
            <w:shd w:val="clear" w:color="B4C6E7" w:fill="B4C6E7"/>
            <w:vAlign w:val="center"/>
            <w:hideMark/>
          </w:tcPr>
          <w:p w14:paraId="39C16EB6"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11475</w:t>
            </w:r>
          </w:p>
        </w:tc>
        <w:tc>
          <w:tcPr>
            <w:tcW w:w="1428" w:type="dxa"/>
            <w:tcBorders>
              <w:top w:val="single" w:sz="4" w:space="0" w:color="FFFFFF"/>
              <w:left w:val="single" w:sz="4" w:space="0" w:color="FFFFFF"/>
              <w:bottom w:val="nil"/>
              <w:right w:val="nil"/>
            </w:tcBorders>
            <w:shd w:val="clear" w:color="B4C6E7" w:fill="B4C6E7"/>
            <w:vAlign w:val="center"/>
            <w:hideMark/>
          </w:tcPr>
          <w:p w14:paraId="4CC1132F" w14:textId="77777777" w:rsidR="00941B1A" w:rsidRPr="00941B1A" w:rsidRDefault="00941B1A" w:rsidP="00941B1A">
            <w:pPr>
              <w:spacing w:after="0" w:line="240" w:lineRule="auto"/>
              <w:jc w:val="right"/>
              <w:rPr>
                <w:rFonts w:eastAsia="Times New Roman"/>
                <w:color w:val="000000"/>
                <w:sz w:val="20"/>
                <w:szCs w:val="20"/>
                <w:lang w:val="en-CA" w:eastAsia="en-CA"/>
              </w:rPr>
            </w:pPr>
            <w:r w:rsidRPr="00941B1A">
              <w:rPr>
                <w:rFonts w:eastAsia="Times New Roman"/>
                <w:color w:val="000000"/>
                <w:sz w:val="20"/>
                <w:szCs w:val="20"/>
                <w:lang w:val="en-CA" w:eastAsia="en-CA"/>
              </w:rPr>
              <w:t>43510</w:t>
            </w:r>
          </w:p>
        </w:tc>
      </w:tr>
    </w:tbl>
    <w:p w14:paraId="7973648F" w14:textId="77777777" w:rsidR="0054527A" w:rsidRPr="00D3335A" w:rsidRDefault="0054527A" w:rsidP="00E16335">
      <w:pPr>
        <w:rPr>
          <w:szCs w:val="24"/>
        </w:rPr>
      </w:pPr>
    </w:p>
    <w:sectPr w:rsidR="0054527A" w:rsidRPr="00D3335A" w:rsidSect="00D3335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F11558" w14:textId="77777777" w:rsidR="00E236C8" w:rsidRDefault="00E236C8" w:rsidP="00533253">
      <w:pPr>
        <w:spacing w:after="0" w:line="240" w:lineRule="auto"/>
      </w:pPr>
      <w:r>
        <w:separator/>
      </w:r>
    </w:p>
  </w:endnote>
  <w:endnote w:type="continuationSeparator" w:id="0">
    <w:p w14:paraId="77FE78AF" w14:textId="77777777" w:rsidR="00E236C8" w:rsidRDefault="00E236C8" w:rsidP="00533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C5568" w14:textId="77777777" w:rsidR="00E236C8" w:rsidRDefault="00E236C8" w:rsidP="00533253">
      <w:pPr>
        <w:spacing w:after="0" w:line="240" w:lineRule="auto"/>
      </w:pPr>
      <w:r>
        <w:separator/>
      </w:r>
    </w:p>
  </w:footnote>
  <w:footnote w:type="continuationSeparator" w:id="0">
    <w:p w14:paraId="5C17D7B0" w14:textId="77777777" w:rsidR="00E236C8" w:rsidRDefault="00E236C8" w:rsidP="00533253">
      <w:pPr>
        <w:spacing w:after="0" w:line="240" w:lineRule="auto"/>
      </w:pPr>
      <w:r>
        <w:continuationSeparator/>
      </w:r>
    </w:p>
  </w:footnote>
  <w:footnote w:id="1">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2">
    <w:p w14:paraId="04BC7F95" w14:textId="77777777" w:rsidR="00226288" w:rsidRDefault="00226288"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01C34"/>
    <w:rsid w:val="00011EC1"/>
    <w:rsid w:val="000238B0"/>
    <w:rsid w:val="000259AF"/>
    <w:rsid w:val="00025F29"/>
    <w:rsid w:val="00031BC5"/>
    <w:rsid w:val="000356BA"/>
    <w:rsid w:val="000361EA"/>
    <w:rsid w:val="0004189C"/>
    <w:rsid w:val="00050419"/>
    <w:rsid w:val="00061B5D"/>
    <w:rsid w:val="0006709B"/>
    <w:rsid w:val="0007121F"/>
    <w:rsid w:val="000726CD"/>
    <w:rsid w:val="00081AC4"/>
    <w:rsid w:val="0009529B"/>
    <w:rsid w:val="000A372D"/>
    <w:rsid w:val="000A4D7C"/>
    <w:rsid w:val="000A6251"/>
    <w:rsid w:val="000B3B59"/>
    <w:rsid w:val="000B543A"/>
    <w:rsid w:val="000C0824"/>
    <w:rsid w:val="000C30F7"/>
    <w:rsid w:val="000D0C37"/>
    <w:rsid w:val="000D539E"/>
    <w:rsid w:val="000D5DDC"/>
    <w:rsid w:val="000E0371"/>
    <w:rsid w:val="0010084F"/>
    <w:rsid w:val="001010F7"/>
    <w:rsid w:val="0010245C"/>
    <w:rsid w:val="0010753B"/>
    <w:rsid w:val="001120C5"/>
    <w:rsid w:val="0012393A"/>
    <w:rsid w:val="001333B6"/>
    <w:rsid w:val="0013553C"/>
    <w:rsid w:val="00144572"/>
    <w:rsid w:val="00153BAD"/>
    <w:rsid w:val="00156AEF"/>
    <w:rsid w:val="001618D5"/>
    <w:rsid w:val="00163993"/>
    <w:rsid w:val="001713C5"/>
    <w:rsid w:val="00182F1D"/>
    <w:rsid w:val="00191519"/>
    <w:rsid w:val="00195492"/>
    <w:rsid w:val="001961F9"/>
    <w:rsid w:val="001A0135"/>
    <w:rsid w:val="001A4616"/>
    <w:rsid w:val="001C2040"/>
    <w:rsid w:val="001C359A"/>
    <w:rsid w:val="001C5A47"/>
    <w:rsid w:val="001D00C9"/>
    <w:rsid w:val="001F35C3"/>
    <w:rsid w:val="001F57F4"/>
    <w:rsid w:val="001F6F3C"/>
    <w:rsid w:val="001F7C93"/>
    <w:rsid w:val="00200EE0"/>
    <w:rsid w:val="002025E6"/>
    <w:rsid w:val="00203CFE"/>
    <w:rsid w:val="00205CFB"/>
    <w:rsid w:val="002120AC"/>
    <w:rsid w:val="0021316D"/>
    <w:rsid w:val="00214405"/>
    <w:rsid w:val="00215178"/>
    <w:rsid w:val="00217691"/>
    <w:rsid w:val="00224499"/>
    <w:rsid w:val="00226288"/>
    <w:rsid w:val="002271ED"/>
    <w:rsid w:val="002325B6"/>
    <w:rsid w:val="0023283B"/>
    <w:rsid w:val="00234790"/>
    <w:rsid w:val="00242CFD"/>
    <w:rsid w:val="00246CF0"/>
    <w:rsid w:val="00255EFF"/>
    <w:rsid w:val="00263EA3"/>
    <w:rsid w:val="0027002D"/>
    <w:rsid w:val="00273118"/>
    <w:rsid w:val="00275F78"/>
    <w:rsid w:val="002821E2"/>
    <w:rsid w:val="0028792A"/>
    <w:rsid w:val="00291052"/>
    <w:rsid w:val="002920F6"/>
    <w:rsid w:val="00293FAE"/>
    <w:rsid w:val="00296040"/>
    <w:rsid w:val="002C3552"/>
    <w:rsid w:val="002D4526"/>
    <w:rsid w:val="002E0EF6"/>
    <w:rsid w:val="002E2255"/>
    <w:rsid w:val="002F2119"/>
    <w:rsid w:val="002F42D3"/>
    <w:rsid w:val="002F6043"/>
    <w:rsid w:val="002F62E8"/>
    <w:rsid w:val="002F6FA4"/>
    <w:rsid w:val="003011C3"/>
    <w:rsid w:val="0030415E"/>
    <w:rsid w:val="00307880"/>
    <w:rsid w:val="00313389"/>
    <w:rsid w:val="003152BF"/>
    <w:rsid w:val="00317DEF"/>
    <w:rsid w:val="003219CB"/>
    <w:rsid w:val="0032204E"/>
    <w:rsid w:val="0032259E"/>
    <w:rsid w:val="00326D5B"/>
    <w:rsid w:val="00331342"/>
    <w:rsid w:val="00333276"/>
    <w:rsid w:val="00340E57"/>
    <w:rsid w:val="00342506"/>
    <w:rsid w:val="00343F5F"/>
    <w:rsid w:val="00344A46"/>
    <w:rsid w:val="003459DA"/>
    <w:rsid w:val="00351F4C"/>
    <w:rsid w:val="00354CC1"/>
    <w:rsid w:val="00354F92"/>
    <w:rsid w:val="00360FA1"/>
    <w:rsid w:val="00365826"/>
    <w:rsid w:val="00365E92"/>
    <w:rsid w:val="0036789A"/>
    <w:rsid w:val="0038365B"/>
    <w:rsid w:val="00386C93"/>
    <w:rsid w:val="003975CE"/>
    <w:rsid w:val="003A431A"/>
    <w:rsid w:val="003A4C02"/>
    <w:rsid w:val="003B18DC"/>
    <w:rsid w:val="003B1FCD"/>
    <w:rsid w:val="003B3F3D"/>
    <w:rsid w:val="003B448F"/>
    <w:rsid w:val="003D337D"/>
    <w:rsid w:val="003D3F4B"/>
    <w:rsid w:val="003E381F"/>
    <w:rsid w:val="003E41B8"/>
    <w:rsid w:val="00400690"/>
    <w:rsid w:val="00410A7C"/>
    <w:rsid w:val="00413C87"/>
    <w:rsid w:val="00416A76"/>
    <w:rsid w:val="00417737"/>
    <w:rsid w:val="00417F02"/>
    <w:rsid w:val="00420653"/>
    <w:rsid w:val="00426356"/>
    <w:rsid w:val="00431ACD"/>
    <w:rsid w:val="00433159"/>
    <w:rsid w:val="004357F8"/>
    <w:rsid w:val="004358AB"/>
    <w:rsid w:val="00436353"/>
    <w:rsid w:val="00441FE2"/>
    <w:rsid w:val="004443C2"/>
    <w:rsid w:val="00447790"/>
    <w:rsid w:val="0045117A"/>
    <w:rsid w:val="00452AB5"/>
    <w:rsid w:val="00456C6D"/>
    <w:rsid w:val="004570D0"/>
    <w:rsid w:val="004576A5"/>
    <w:rsid w:val="0047091C"/>
    <w:rsid w:val="004711F9"/>
    <w:rsid w:val="0047285E"/>
    <w:rsid w:val="00477DAB"/>
    <w:rsid w:val="004803CE"/>
    <w:rsid w:val="00481532"/>
    <w:rsid w:val="00482DBE"/>
    <w:rsid w:val="004832BE"/>
    <w:rsid w:val="00492DEB"/>
    <w:rsid w:val="00495F46"/>
    <w:rsid w:val="00497B75"/>
    <w:rsid w:val="004B0C32"/>
    <w:rsid w:val="004B618F"/>
    <w:rsid w:val="004C36B5"/>
    <w:rsid w:val="004C7794"/>
    <w:rsid w:val="004D2B1B"/>
    <w:rsid w:val="004D3EFB"/>
    <w:rsid w:val="004D50FF"/>
    <w:rsid w:val="004D57D8"/>
    <w:rsid w:val="004E778B"/>
    <w:rsid w:val="004F155E"/>
    <w:rsid w:val="004F18A7"/>
    <w:rsid w:val="004F7378"/>
    <w:rsid w:val="00503E48"/>
    <w:rsid w:val="00510189"/>
    <w:rsid w:val="005238F9"/>
    <w:rsid w:val="005262CC"/>
    <w:rsid w:val="00526874"/>
    <w:rsid w:val="00530D87"/>
    <w:rsid w:val="00533253"/>
    <w:rsid w:val="005335FD"/>
    <w:rsid w:val="005336CE"/>
    <w:rsid w:val="00536AD2"/>
    <w:rsid w:val="00540C77"/>
    <w:rsid w:val="00542F95"/>
    <w:rsid w:val="00544386"/>
    <w:rsid w:val="0054527A"/>
    <w:rsid w:val="00552C7D"/>
    <w:rsid w:val="00553C6E"/>
    <w:rsid w:val="00555175"/>
    <w:rsid w:val="005578A3"/>
    <w:rsid w:val="00560445"/>
    <w:rsid w:val="005724E0"/>
    <w:rsid w:val="00576659"/>
    <w:rsid w:val="0058123A"/>
    <w:rsid w:val="0058723C"/>
    <w:rsid w:val="00587D02"/>
    <w:rsid w:val="00593BF0"/>
    <w:rsid w:val="00594A01"/>
    <w:rsid w:val="005A2167"/>
    <w:rsid w:val="005A324E"/>
    <w:rsid w:val="005A4A0C"/>
    <w:rsid w:val="005B0633"/>
    <w:rsid w:val="005B0918"/>
    <w:rsid w:val="005B1A0B"/>
    <w:rsid w:val="005C104F"/>
    <w:rsid w:val="005C78EF"/>
    <w:rsid w:val="005C799D"/>
    <w:rsid w:val="005E55E4"/>
    <w:rsid w:val="005F24A5"/>
    <w:rsid w:val="005F267E"/>
    <w:rsid w:val="005F4057"/>
    <w:rsid w:val="0060390E"/>
    <w:rsid w:val="006040A2"/>
    <w:rsid w:val="00610721"/>
    <w:rsid w:val="00612EFD"/>
    <w:rsid w:val="00614875"/>
    <w:rsid w:val="00624FDC"/>
    <w:rsid w:val="00626347"/>
    <w:rsid w:val="00631D13"/>
    <w:rsid w:val="00641FCF"/>
    <w:rsid w:val="006437C2"/>
    <w:rsid w:val="006551B6"/>
    <w:rsid w:val="006666D0"/>
    <w:rsid w:val="00670E6D"/>
    <w:rsid w:val="00671D38"/>
    <w:rsid w:val="006736F1"/>
    <w:rsid w:val="00673A59"/>
    <w:rsid w:val="00675291"/>
    <w:rsid w:val="00677F07"/>
    <w:rsid w:val="00680EEB"/>
    <w:rsid w:val="00681B61"/>
    <w:rsid w:val="00681C2B"/>
    <w:rsid w:val="00681F3B"/>
    <w:rsid w:val="00693E2B"/>
    <w:rsid w:val="00697AEA"/>
    <w:rsid w:val="006B2E58"/>
    <w:rsid w:val="006C719D"/>
    <w:rsid w:val="006D6A15"/>
    <w:rsid w:val="006E13F5"/>
    <w:rsid w:val="006E18B2"/>
    <w:rsid w:val="006F1B6E"/>
    <w:rsid w:val="006F202E"/>
    <w:rsid w:val="006F51A6"/>
    <w:rsid w:val="00705490"/>
    <w:rsid w:val="00706F5D"/>
    <w:rsid w:val="00714BE0"/>
    <w:rsid w:val="00715B3D"/>
    <w:rsid w:val="007218E7"/>
    <w:rsid w:val="00722628"/>
    <w:rsid w:val="00722C51"/>
    <w:rsid w:val="0072646B"/>
    <w:rsid w:val="007266D3"/>
    <w:rsid w:val="00733139"/>
    <w:rsid w:val="00737C46"/>
    <w:rsid w:val="00742C53"/>
    <w:rsid w:val="007540B3"/>
    <w:rsid w:val="0075617E"/>
    <w:rsid w:val="00756739"/>
    <w:rsid w:val="00761CCB"/>
    <w:rsid w:val="00765957"/>
    <w:rsid w:val="00767704"/>
    <w:rsid w:val="00770EF9"/>
    <w:rsid w:val="00774628"/>
    <w:rsid w:val="007767E0"/>
    <w:rsid w:val="00784B4D"/>
    <w:rsid w:val="00785A34"/>
    <w:rsid w:val="007864C8"/>
    <w:rsid w:val="007870B9"/>
    <w:rsid w:val="0079085C"/>
    <w:rsid w:val="00790F0F"/>
    <w:rsid w:val="007A6BD4"/>
    <w:rsid w:val="007B67A4"/>
    <w:rsid w:val="007C3850"/>
    <w:rsid w:val="007C3C5E"/>
    <w:rsid w:val="007D145D"/>
    <w:rsid w:val="007E0F92"/>
    <w:rsid w:val="007E140A"/>
    <w:rsid w:val="007E5CE4"/>
    <w:rsid w:val="007E744A"/>
    <w:rsid w:val="007F07B0"/>
    <w:rsid w:val="007F0D36"/>
    <w:rsid w:val="007F5DC8"/>
    <w:rsid w:val="007F666E"/>
    <w:rsid w:val="0080158C"/>
    <w:rsid w:val="00803E89"/>
    <w:rsid w:val="00812B97"/>
    <w:rsid w:val="00821215"/>
    <w:rsid w:val="00826FF4"/>
    <w:rsid w:val="00834815"/>
    <w:rsid w:val="00835E77"/>
    <w:rsid w:val="00840403"/>
    <w:rsid w:val="00842249"/>
    <w:rsid w:val="00852005"/>
    <w:rsid w:val="00853E3A"/>
    <w:rsid w:val="00855D67"/>
    <w:rsid w:val="0086227A"/>
    <w:rsid w:val="00862A5B"/>
    <w:rsid w:val="00866C1C"/>
    <w:rsid w:val="00870F47"/>
    <w:rsid w:val="00872051"/>
    <w:rsid w:val="00876569"/>
    <w:rsid w:val="00877A83"/>
    <w:rsid w:val="00880DC2"/>
    <w:rsid w:val="00886CC5"/>
    <w:rsid w:val="00890F6D"/>
    <w:rsid w:val="0089636A"/>
    <w:rsid w:val="008963E5"/>
    <w:rsid w:val="008976B5"/>
    <w:rsid w:val="008A1EA6"/>
    <w:rsid w:val="008A3666"/>
    <w:rsid w:val="008A3772"/>
    <w:rsid w:val="008A5F82"/>
    <w:rsid w:val="008A6795"/>
    <w:rsid w:val="008B3CB3"/>
    <w:rsid w:val="008C082C"/>
    <w:rsid w:val="008C5776"/>
    <w:rsid w:val="008C5E9C"/>
    <w:rsid w:val="008D3AA0"/>
    <w:rsid w:val="008D4F96"/>
    <w:rsid w:val="008D5897"/>
    <w:rsid w:val="008D69C8"/>
    <w:rsid w:val="008D7001"/>
    <w:rsid w:val="008E1ED1"/>
    <w:rsid w:val="008E30F8"/>
    <w:rsid w:val="008E5BF4"/>
    <w:rsid w:val="008F3D10"/>
    <w:rsid w:val="008F6F37"/>
    <w:rsid w:val="0090316A"/>
    <w:rsid w:val="009106B0"/>
    <w:rsid w:val="00910DAD"/>
    <w:rsid w:val="009113A3"/>
    <w:rsid w:val="00914776"/>
    <w:rsid w:val="00915C3C"/>
    <w:rsid w:val="00916094"/>
    <w:rsid w:val="00930141"/>
    <w:rsid w:val="00937062"/>
    <w:rsid w:val="0094032D"/>
    <w:rsid w:val="009407F0"/>
    <w:rsid w:val="00941B1A"/>
    <w:rsid w:val="009534A1"/>
    <w:rsid w:val="00964426"/>
    <w:rsid w:val="00973562"/>
    <w:rsid w:val="00975BA7"/>
    <w:rsid w:val="00986C0D"/>
    <w:rsid w:val="00993AFC"/>
    <w:rsid w:val="009A3B95"/>
    <w:rsid w:val="009A458A"/>
    <w:rsid w:val="009A54EE"/>
    <w:rsid w:val="009A6210"/>
    <w:rsid w:val="009B1567"/>
    <w:rsid w:val="009C1729"/>
    <w:rsid w:val="009C3F94"/>
    <w:rsid w:val="009C400F"/>
    <w:rsid w:val="009C5A8A"/>
    <w:rsid w:val="009C610A"/>
    <w:rsid w:val="009D3B76"/>
    <w:rsid w:val="009E008A"/>
    <w:rsid w:val="009E0814"/>
    <w:rsid w:val="009E1870"/>
    <w:rsid w:val="009E27E2"/>
    <w:rsid w:val="009E282B"/>
    <w:rsid w:val="00A00C83"/>
    <w:rsid w:val="00A02383"/>
    <w:rsid w:val="00A03051"/>
    <w:rsid w:val="00A04221"/>
    <w:rsid w:val="00A20D5A"/>
    <w:rsid w:val="00A25514"/>
    <w:rsid w:val="00A26BCF"/>
    <w:rsid w:val="00A36538"/>
    <w:rsid w:val="00A41E32"/>
    <w:rsid w:val="00A45579"/>
    <w:rsid w:val="00A47131"/>
    <w:rsid w:val="00A47308"/>
    <w:rsid w:val="00A622F8"/>
    <w:rsid w:val="00A65366"/>
    <w:rsid w:val="00A656D7"/>
    <w:rsid w:val="00A66519"/>
    <w:rsid w:val="00A73828"/>
    <w:rsid w:val="00A76976"/>
    <w:rsid w:val="00A8263D"/>
    <w:rsid w:val="00A835ED"/>
    <w:rsid w:val="00A92519"/>
    <w:rsid w:val="00AA1DDD"/>
    <w:rsid w:val="00AA5A47"/>
    <w:rsid w:val="00AB64B7"/>
    <w:rsid w:val="00AB7CE3"/>
    <w:rsid w:val="00AC341A"/>
    <w:rsid w:val="00AC5DB2"/>
    <w:rsid w:val="00AD6300"/>
    <w:rsid w:val="00AE1691"/>
    <w:rsid w:val="00AE3796"/>
    <w:rsid w:val="00AE3CB9"/>
    <w:rsid w:val="00AF35D4"/>
    <w:rsid w:val="00AF6180"/>
    <w:rsid w:val="00B00DE4"/>
    <w:rsid w:val="00B04E40"/>
    <w:rsid w:val="00B04E8A"/>
    <w:rsid w:val="00B2583B"/>
    <w:rsid w:val="00B27530"/>
    <w:rsid w:val="00B30570"/>
    <w:rsid w:val="00B34A7B"/>
    <w:rsid w:val="00B3507E"/>
    <w:rsid w:val="00B51104"/>
    <w:rsid w:val="00B53197"/>
    <w:rsid w:val="00B53E52"/>
    <w:rsid w:val="00B57FE0"/>
    <w:rsid w:val="00B61A5B"/>
    <w:rsid w:val="00B6278E"/>
    <w:rsid w:val="00B72F6F"/>
    <w:rsid w:val="00B7543D"/>
    <w:rsid w:val="00B86345"/>
    <w:rsid w:val="00B87C75"/>
    <w:rsid w:val="00B9087E"/>
    <w:rsid w:val="00B908A9"/>
    <w:rsid w:val="00B94F9A"/>
    <w:rsid w:val="00B95616"/>
    <w:rsid w:val="00BA10DF"/>
    <w:rsid w:val="00BA1272"/>
    <w:rsid w:val="00BA185C"/>
    <w:rsid w:val="00BB3750"/>
    <w:rsid w:val="00BB70AE"/>
    <w:rsid w:val="00BC13F1"/>
    <w:rsid w:val="00BC277B"/>
    <w:rsid w:val="00BE1438"/>
    <w:rsid w:val="00BE3C41"/>
    <w:rsid w:val="00BE42B4"/>
    <w:rsid w:val="00BE43FB"/>
    <w:rsid w:val="00BE604A"/>
    <w:rsid w:val="00BE6411"/>
    <w:rsid w:val="00BF14F1"/>
    <w:rsid w:val="00BF7E3F"/>
    <w:rsid w:val="00C06DB3"/>
    <w:rsid w:val="00C132BD"/>
    <w:rsid w:val="00C162C5"/>
    <w:rsid w:val="00C23179"/>
    <w:rsid w:val="00C23508"/>
    <w:rsid w:val="00C36321"/>
    <w:rsid w:val="00C36E11"/>
    <w:rsid w:val="00C401EC"/>
    <w:rsid w:val="00C50350"/>
    <w:rsid w:val="00C52D0C"/>
    <w:rsid w:val="00C65D8B"/>
    <w:rsid w:val="00C8586B"/>
    <w:rsid w:val="00C942CD"/>
    <w:rsid w:val="00CA3C0E"/>
    <w:rsid w:val="00CA5586"/>
    <w:rsid w:val="00CA7412"/>
    <w:rsid w:val="00CA77DD"/>
    <w:rsid w:val="00CB1099"/>
    <w:rsid w:val="00CB1685"/>
    <w:rsid w:val="00CB38DB"/>
    <w:rsid w:val="00CB62EA"/>
    <w:rsid w:val="00CC3095"/>
    <w:rsid w:val="00CC4CA8"/>
    <w:rsid w:val="00CD12F5"/>
    <w:rsid w:val="00CE7A05"/>
    <w:rsid w:val="00CF02AF"/>
    <w:rsid w:val="00CF1F1C"/>
    <w:rsid w:val="00D02067"/>
    <w:rsid w:val="00D05172"/>
    <w:rsid w:val="00D0616D"/>
    <w:rsid w:val="00D076D5"/>
    <w:rsid w:val="00D07BC3"/>
    <w:rsid w:val="00D17292"/>
    <w:rsid w:val="00D21261"/>
    <w:rsid w:val="00D2549C"/>
    <w:rsid w:val="00D27FE3"/>
    <w:rsid w:val="00D30B7F"/>
    <w:rsid w:val="00D31C6B"/>
    <w:rsid w:val="00D3335A"/>
    <w:rsid w:val="00D3691A"/>
    <w:rsid w:val="00D41B44"/>
    <w:rsid w:val="00D459CC"/>
    <w:rsid w:val="00D503EA"/>
    <w:rsid w:val="00D52E91"/>
    <w:rsid w:val="00D5651B"/>
    <w:rsid w:val="00D62F71"/>
    <w:rsid w:val="00D66F81"/>
    <w:rsid w:val="00D72EE0"/>
    <w:rsid w:val="00D746A4"/>
    <w:rsid w:val="00D74936"/>
    <w:rsid w:val="00D76F1D"/>
    <w:rsid w:val="00D804CC"/>
    <w:rsid w:val="00D87F73"/>
    <w:rsid w:val="00D93934"/>
    <w:rsid w:val="00D93B90"/>
    <w:rsid w:val="00D94D4B"/>
    <w:rsid w:val="00D965E7"/>
    <w:rsid w:val="00DA57E7"/>
    <w:rsid w:val="00DA588C"/>
    <w:rsid w:val="00DA6D14"/>
    <w:rsid w:val="00DB11A2"/>
    <w:rsid w:val="00DB4886"/>
    <w:rsid w:val="00DC1D89"/>
    <w:rsid w:val="00DC3C74"/>
    <w:rsid w:val="00DC5957"/>
    <w:rsid w:val="00DD0ADF"/>
    <w:rsid w:val="00DD1922"/>
    <w:rsid w:val="00DD457E"/>
    <w:rsid w:val="00DD49DF"/>
    <w:rsid w:val="00DD6077"/>
    <w:rsid w:val="00DD6701"/>
    <w:rsid w:val="00DE2662"/>
    <w:rsid w:val="00DE4CF7"/>
    <w:rsid w:val="00DE71DC"/>
    <w:rsid w:val="00DF23A1"/>
    <w:rsid w:val="00DF39F7"/>
    <w:rsid w:val="00E0218D"/>
    <w:rsid w:val="00E1004A"/>
    <w:rsid w:val="00E16335"/>
    <w:rsid w:val="00E236C8"/>
    <w:rsid w:val="00E308F4"/>
    <w:rsid w:val="00E30DC8"/>
    <w:rsid w:val="00E316AF"/>
    <w:rsid w:val="00E33A22"/>
    <w:rsid w:val="00E41114"/>
    <w:rsid w:val="00E41968"/>
    <w:rsid w:val="00E44DC0"/>
    <w:rsid w:val="00E5369A"/>
    <w:rsid w:val="00E54647"/>
    <w:rsid w:val="00E55335"/>
    <w:rsid w:val="00E55D8B"/>
    <w:rsid w:val="00E5681A"/>
    <w:rsid w:val="00E6046B"/>
    <w:rsid w:val="00E64543"/>
    <w:rsid w:val="00E64ECF"/>
    <w:rsid w:val="00EA7CDE"/>
    <w:rsid w:val="00EB0362"/>
    <w:rsid w:val="00EC02C5"/>
    <w:rsid w:val="00EC71A3"/>
    <w:rsid w:val="00ED702F"/>
    <w:rsid w:val="00EE1061"/>
    <w:rsid w:val="00EE797B"/>
    <w:rsid w:val="00F0075E"/>
    <w:rsid w:val="00F06AB9"/>
    <w:rsid w:val="00F14B01"/>
    <w:rsid w:val="00F32FFB"/>
    <w:rsid w:val="00F33C87"/>
    <w:rsid w:val="00F344C7"/>
    <w:rsid w:val="00F4188B"/>
    <w:rsid w:val="00F41ED4"/>
    <w:rsid w:val="00F43A14"/>
    <w:rsid w:val="00F44896"/>
    <w:rsid w:val="00F52FA7"/>
    <w:rsid w:val="00F534B9"/>
    <w:rsid w:val="00F567EC"/>
    <w:rsid w:val="00F601D1"/>
    <w:rsid w:val="00F622A7"/>
    <w:rsid w:val="00F63306"/>
    <w:rsid w:val="00F64E85"/>
    <w:rsid w:val="00F6557B"/>
    <w:rsid w:val="00F7126C"/>
    <w:rsid w:val="00F738DC"/>
    <w:rsid w:val="00F7536C"/>
    <w:rsid w:val="00F76586"/>
    <w:rsid w:val="00F77D1F"/>
    <w:rsid w:val="00F91D75"/>
    <w:rsid w:val="00FA4291"/>
    <w:rsid w:val="00FB5B6B"/>
    <w:rsid w:val="00FC404B"/>
    <w:rsid w:val="00FC47CF"/>
    <w:rsid w:val="00FC527C"/>
    <w:rsid w:val="00FC5436"/>
    <w:rsid w:val="00FC5FDF"/>
    <w:rsid w:val="00FD54A3"/>
    <w:rsid w:val="00FD597E"/>
    <w:rsid w:val="00FE344B"/>
    <w:rsid w:val="00FE6560"/>
    <w:rsid w:val="00FE7ED2"/>
    <w:rsid w:val="00FF076A"/>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1C5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388566">
      <w:bodyDiv w:val="1"/>
      <w:marLeft w:val="0"/>
      <w:marRight w:val="0"/>
      <w:marTop w:val="0"/>
      <w:marBottom w:val="0"/>
      <w:divBdr>
        <w:top w:val="none" w:sz="0" w:space="0" w:color="auto"/>
        <w:left w:val="none" w:sz="0" w:space="0" w:color="auto"/>
        <w:bottom w:val="none" w:sz="0" w:space="0" w:color="auto"/>
        <w:right w:val="none" w:sz="0" w:space="0" w:color="auto"/>
      </w:divBdr>
    </w:div>
    <w:div w:id="260846158">
      <w:bodyDiv w:val="1"/>
      <w:marLeft w:val="0"/>
      <w:marRight w:val="0"/>
      <w:marTop w:val="0"/>
      <w:marBottom w:val="0"/>
      <w:divBdr>
        <w:top w:val="none" w:sz="0" w:space="0" w:color="auto"/>
        <w:left w:val="none" w:sz="0" w:space="0" w:color="auto"/>
        <w:bottom w:val="none" w:sz="0" w:space="0" w:color="auto"/>
        <w:right w:val="none" w:sz="0" w:space="0" w:color="auto"/>
      </w:divBdr>
    </w:div>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63796362">
      <w:bodyDiv w:val="1"/>
      <w:marLeft w:val="0"/>
      <w:marRight w:val="0"/>
      <w:marTop w:val="0"/>
      <w:marBottom w:val="0"/>
      <w:divBdr>
        <w:top w:val="none" w:sz="0" w:space="0" w:color="auto"/>
        <w:left w:val="none" w:sz="0" w:space="0" w:color="auto"/>
        <w:bottom w:val="none" w:sz="0" w:space="0" w:color="auto"/>
        <w:right w:val="none" w:sz="0" w:space="0" w:color="auto"/>
      </w:divBdr>
    </w:div>
    <w:div w:id="1017543892">
      <w:bodyDiv w:val="1"/>
      <w:marLeft w:val="0"/>
      <w:marRight w:val="0"/>
      <w:marTop w:val="0"/>
      <w:marBottom w:val="0"/>
      <w:divBdr>
        <w:top w:val="none" w:sz="0" w:space="0" w:color="auto"/>
        <w:left w:val="none" w:sz="0" w:space="0" w:color="auto"/>
        <w:bottom w:val="none" w:sz="0" w:space="0" w:color="auto"/>
        <w:right w:val="none" w:sz="0" w:space="0" w:color="auto"/>
      </w:divBdr>
    </w:div>
    <w:div w:id="1037125601">
      <w:bodyDiv w:val="1"/>
      <w:marLeft w:val="0"/>
      <w:marRight w:val="0"/>
      <w:marTop w:val="0"/>
      <w:marBottom w:val="0"/>
      <w:divBdr>
        <w:top w:val="none" w:sz="0" w:space="0" w:color="auto"/>
        <w:left w:val="none" w:sz="0" w:space="0" w:color="auto"/>
        <w:bottom w:val="none" w:sz="0" w:space="0" w:color="auto"/>
        <w:right w:val="none" w:sz="0" w:space="0" w:color="auto"/>
      </w:divBdr>
    </w:div>
    <w:div w:id="1394083180">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884291113">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CEFD8-69E7-4FF1-8699-5A6979B10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6</Pages>
  <Words>1661</Words>
  <Characters>9219</Characters>
  <Application>Microsoft Office Word</Application>
  <DocSecurity>0</DocSecurity>
  <Lines>263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54</cp:revision>
  <dcterms:created xsi:type="dcterms:W3CDTF">2020-04-02T15:16:00Z</dcterms:created>
  <dcterms:modified xsi:type="dcterms:W3CDTF">2020-05-29T18:32:00Z</dcterms:modified>
</cp:coreProperties>
</file>