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257904D" w:rsidR="00226288" w:rsidRPr="00226288" w:rsidRDefault="00226288" w:rsidP="00AA2548">
      <w:pPr>
        <w:spacing w:line="480" w:lineRule="auto"/>
        <w:contextualSpacing/>
        <w:jc w:val="both"/>
      </w:pPr>
      <w:r w:rsidRPr="00226288">
        <w:t xml:space="preserve">An </w:t>
      </w:r>
      <w:r w:rsidR="00081AC4">
        <w:t>Image</w:t>
      </w:r>
      <w:r w:rsidRPr="00226288">
        <w:t xml:space="preserve"> of the Future – </w:t>
      </w:r>
      <w:r w:rsidR="00264855">
        <w:t>Entity 22</w:t>
      </w:r>
      <w:r w:rsidRPr="00226288">
        <w:t xml:space="preserve"> and Regional Service District </w:t>
      </w:r>
      <w:r w:rsidR="00264855">
        <w:t>6</w:t>
      </w:r>
    </w:p>
    <w:p w14:paraId="70CB123F" w14:textId="168963BA" w:rsidR="00226288" w:rsidRPr="00226288" w:rsidRDefault="00762C21" w:rsidP="00334283">
      <w:pPr>
        <w:jc w:val="both"/>
        <w:rPr>
          <w:rFonts w:eastAsia="Times New Roman"/>
        </w:rPr>
      </w:pPr>
      <w:r>
        <w:rPr>
          <w:noProof/>
          <w:szCs w:val="24"/>
        </w:rPr>
        <w:drawing>
          <wp:anchor distT="0" distB="0" distL="114300" distR="114300" simplePos="0" relativeHeight="251654656" behindDoc="0" locked="0" layoutInCell="1" allowOverlap="1" wp14:anchorId="4E73665D" wp14:editId="0C71FD94">
            <wp:simplePos x="0" y="0"/>
            <wp:positionH relativeFrom="column">
              <wp:posOffset>4090035</wp:posOffset>
            </wp:positionH>
            <wp:positionV relativeFrom="paragraph">
              <wp:posOffset>1217930</wp:posOffset>
            </wp:positionV>
            <wp:extent cx="1769745" cy="3060065"/>
            <wp:effectExtent l="0" t="0" r="1905" b="6985"/>
            <wp:wrapThrough wrapText="bothSides">
              <wp:wrapPolygon edited="0">
                <wp:start x="465" y="0"/>
                <wp:lineTo x="0" y="403"/>
                <wp:lineTo x="0" y="20574"/>
                <wp:lineTo x="233" y="21380"/>
                <wp:lineTo x="465" y="21515"/>
                <wp:lineTo x="20926" y="21515"/>
                <wp:lineTo x="21158" y="21380"/>
                <wp:lineTo x="21391" y="20574"/>
                <wp:lineTo x="21391" y="403"/>
                <wp:lineTo x="20926" y="0"/>
                <wp:lineTo x="46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571" t="2964" r="17733" b="46563"/>
                    <a:stretch/>
                  </pic:blipFill>
                  <pic:spPr bwMode="auto">
                    <a:xfrm>
                      <a:off x="0" y="0"/>
                      <a:ext cx="1769745" cy="306006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264855">
        <w:rPr>
          <w:rFonts w:eastAsia="Times New Roman"/>
        </w:rPr>
        <w:t>Entity 22</w:t>
      </w:r>
      <w:r w:rsidR="006736F1">
        <w:rPr>
          <w:rFonts w:eastAsia="Times New Roman"/>
        </w:rPr>
        <w:t>.</w:t>
      </w:r>
      <w:r w:rsidR="00226288" w:rsidRPr="00226288">
        <w:rPr>
          <w:rFonts w:eastAsia="Times New Roman"/>
        </w:rPr>
        <w:t xml:space="preserve"> For the duration of this discussion the municipality shall be referred to as </w:t>
      </w:r>
      <w:r w:rsidR="00264855">
        <w:rPr>
          <w:rFonts w:eastAsia="Times New Roman"/>
        </w:rPr>
        <w:t>Entity 22</w:t>
      </w:r>
      <w:r w:rsidR="00226288" w:rsidRPr="00226288">
        <w:rPr>
          <w:rFonts w:eastAsia="Times New Roman"/>
        </w:rPr>
        <w:t xml:space="preserve">, as while the municipality could conceivably adopt </w:t>
      </w:r>
      <w:r w:rsidR="0005610E">
        <w:rPr>
          <w:rFonts w:eastAsia="Times New Roman"/>
        </w:rPr>
        <w:t>Saint-Louis, Carleton</w:t>
      </w:r>
      <w:r w:rsidR="001A5EB0">
        <w:rPr>
          <w:rFonts w:eastAsia="Times New Roman"/>
        </w:rPr>
        <w:t>,</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B578062" w:rsidR="00226288" w:rsidRPr="00226288" w:rsidRDefault="00226288" w:rsidP="00334283">
      <w:pPr>
        <w:jc w:val="both"/>
        <w:rPr>
          <w:b/>
          <w:bCs/>
        </w:rPr>
      </w:pPr>
      <w:r w:rsidRPr="00226288">
        <w:rPr>
          <w:rFonts w:eastAsia="Times New Roman"/>
          <w:b/>
          <w:bCs/>
        </w:rPr>
        <w:t>Geographic Boundaries</w:t>
      </w:r>
    </w:p>
    <w:p w14:paraId="77D2CE88" w14:textId="77514EC8" w:rsidR="007C1C58" w:rsidRDefault="00A76BD9" w:rsidP="00334283">
      <w:pPr>
        <w:jc w:val="both"/>
        <w:rPr>
          <w:szCs w:val="24"/>
        </w:rPr>
      </w:pPr>
      <w:r w:rsidRPr="00226288">
        <w:rPr>
          <w:noProof/>
          <w:lang w:val="en-CA" w:eastAsia="en-CA"/>
        </w:rPr>
        <w:drawing>
          <wp:anchor distT="0" distB="0" distL="114300" distR="114300" simplePos="0" relativeHeight="251678208" behindDoc="0" locked="0" layoutInCell="1" allowOverlap="1" wp14:anchorId="57FA4B48" wp14:editId="274B37D4">
            <wp:simplePos x="0" y="0"/>
            <wp:positionH relativeFrom="margin">
              <wp:posOffset>5195658</wp:posOffset>
            </wp:positionH>
            <wp:positionV relativeFrom="paragraph">
              <wp:posOffset>869947</wp:posOffset>
            </wp:positionV>
            <wp:extent cx="787400" cy="981075"/>
            <wp:effectExtent l="0" t="0" r="0" b="9525"/>
            <wp:wrapThrough wrapText="bothSides">
              <wp:wrapPolygon edited="0">
                <wp:start x="1045" y="0"/>
                <wp:lineTo x="0" y="1258"/>
                <wp:lineTo x="0" y="20551"/>
                <wp:lineTo x="1045" y="21390"/>
                <wp:lineTo x="19858" y="21390"/>
                <wp:lineTo x="20903" y="20551"/>
                <wp:lineTo x="20903" y="1258"/>
                <wp:lineTo x="19858" y="0"/>
                <wp:lineTo x="1045"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787400" cy="98107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855">
        <w:rPr>
          <w:szCs w:val="24"/>
        </w:rPr>
        <w:t>Entity 22</w:t>
      </w:r>
      <w:r w:rsidR="00D02067">
        <w:rPr>
          <w:szCs w:val="24"/>
        </w:rPr>
        <w:t xml:space="preserve"> would be comprised of </w:t>
      </w:r>
      <w:r w:rsidR="0076188A">
        <w:rPr>
          <w:szCs w:val="24"/>
        </w:rPr>
        <w:t>the</w:t>
      </w:r>
      <w:r w:rsidR="004E08B0">
        <w:rPr>
          <w:szCs w:val="24"/>
        </w:rPr>
        <w:t xml:space="preserve"> </w:t>
      </w:r>
      <w:r w:rsidR="0058183A">
        <w:rPr>
          <w:szCs w:val="24"/>
        </w:rPr>
        <w:t xml:space="preserve">Village of </w:t>
      </w:r>
      <w:r w:rsidR="00C17C4A">
        <w:rPr>
          <w:szCs w:val="24"/>
        </w:rPr>
        <w:t>Saint-Louis</w:t>
      </w:r>
      <w:r w:rsidR="009831D8">
        <w:rPr>
          <w:szCs w:val="24"/>
        </w:rPr>
        <w:t xml:space="preserve"> de Kent,</w:t>
      </w:r>
      <w:r w:rsidR="004D7C08">
        <w:rPr>
          <w:szCs w:val="24"/>
        </w:rPr>
        <w:t xml:space="preserve"> </w:t>
      </w:r>
      <w:r w:rsidR="0058183A">
        <w:rPr>
          <w:szCs w:val="24"/>
        </w:rPr>
        <w:t xml:space="preserve">the </w:t>
      </w:r>
      <w:r w:rsidR="005B259E">
        <w:rPr>
          <w:szCs w:val="24"/>
        </w:rPr>
        <w:t xml:space="preserve">Carleton, Baie Ste. Anne, </w:t>
      </w:r>
      <w:r w:rsidR="00F0787F">
        <w:rPr>
          <w:szCs w:val="24"/>
        </w:rPr>
        <w:t xml:space="preserve">Escuminac, Pointe-Sapin, </w:t>
      </w:r>
      <w:r w:rsidR="00B13F0C">
        <w:rPr>
          <w:szCs w:val="24"/>
        </w:rPr>
        <w:t>Saint-Charles, Saint-Ignace</w:t>
      </w:r>
      <w:r w:rsidR="00A25B67">
        <w:rPr>
          <w:szCs w:val="24"/>
        </w:rPr>
        <w:t xml:space="preserve"> LSDs</w:t>
      </w:r>
      <w:r w:rsidR="00B13F0C">
        <w:rPr>
          <w:szCs w:val="24"/>
        </w:rPr>
        <w:t>, and portions of Saint-Louis and Hardwick LSDs</w:t>
      </w:r>
      <w:r w:rsidR="0058183A">
        <w:rPr>
          <w:szCs w:val="24"/>
        </w:rPr>
        <w:t>.</w:t>
      </w:r>
      <w:r w:rsidR="00D45B8F">
        <w:rPr>
          <w:szCs w:val="24"/>
        </w:rPr>
        <w:t xml:space="preserve"> The proposed entity would lie on the coast of the Northumberland Straight</w:t>
      </w:r>
      <w:r w:rsidR="002B6EB3">
        <w:rPr>
          <w:szCs w:val="24"/>
        </w:rPr>
        <w:t xml:space="preserve"> with much of the Hardwick and Carleton LSDs being comprised of Crown Lands. </w:t>
      </w:r>
    </w:p>
    <w:p w14:paraId="4750B350" w14:textId="39BEB73D" w:rsidR="00226288" w:rsidRPr="00226288" w:rsidRDefault="00226288" w:rsidP="00334283">
      <w:pPr>
        <w:jc w:val="both"/>
        <w:rPr>
          <w:rFonts w:eastAsia="Times New Roman"/>
          <w:b/>
          <w:bCs/>
        </w:rPr>
      </w:pPr>
      <w:r w:rsidRPr="00226288">
        <w:rPr>
          <w:rFonts w:eastAsia="Times New Roman"/>
          <w:b/>
          <w:bCs/>
        </w:rPr>
        <w:t>Demographic Base</w:t>
      </w:r>
    </w:p>
    <w:p w14:paraId="7D8A8940" w14:textId="434F362B" w:rsidR="00BA73EA" w:rsidRDefault="00226288" w:rsidP="0033428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F256FD">
        <w:rPr>
          <w:szCs w:val="24"/>
        </w:rPr>
        <w:t>6000</w:t>
      </w:r>
      <w:r w:rsidR="003002B5">
        <w:rPr>
          <w:szCs w:val="24"/>
        </w:rPr>
        <w:t xml:space="preserve"> p</w:t>
      </w:r>
      <w:r w:rsidR="006437C2">
        <w:rPr>
          <w:szCs w:val="24"/>
        </w:rPr>
        <w:t>eopl</w:t>
      </w:r>
      <w:r w:rsidR="00DF2084">
        <w:rPr>
          <w:szCs w:val="24"/>
        </w:rPr>
        <w:t>e</w:t>
      </w:r>
      <w:r w:rsidR="005C0E81">
        <w:rPr>
          <w:szCs w:val="24"/>
        </w:rPr>
        <w:t xml:space="preserve">. Since 2011, this population has decreased by </w:t>
      </w:r>
      <w:r w:rsidR="009256B7">
        <w:rPr>
          <w:szCs w:val="24"/>
        </w:rPr>
        <w:t>about 200 people</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64855">
        <w:rPr>
          <w:rFonts w:eastAsia="Times New Roman"/>
          <w:color w:val="000000" w:themeColor="text1"/>
          <w:szCs w:val="24"/>
        </w:rPr>
        <w:t>Entity 22</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C5E82">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4419FD">
        <w:rPr>
          <w:rFonts w:eastAsia="Times New Roman"/>
          <w:color w:val="000000" w:themeColor="text1"/>
          <w:szCs w:val="24"/>
        </w:rPr>
        <w:t>less than 20% of the population are Anglophones</w:t>
      </w:r>
      <w:r w:rsidR="00F1745B">
        <w:rPr>
          <w:rFonts w:eastAsia="Times New Roman"/>
          <w:color w:val="000000" w:themeColor="text1"/>
          <w:szCs w:val="24"/>
        </w:rPr>
        <w:t xml:space="preserve">. </w:t>
      </w:r>
      <w:r w:rsidR="00BA73EA" w:rsidRPr="00226288">
        <w:rPr>
          <w:rFonts w:eastAsia="Times New Roman"/>
          <w:color w:val="000000" w:themeColor="text1"/>
          <w:szCs w:val="24"/>
        </w:rPr>
        <w:t xml:space="preserve"> </w:t>
      </w:r>
    </w:p>
    <w:p w14:paraId="71310D31" w14:textId="77777777" w:rsidR="00334283" w:rsidRDefault="00BC2FFE" w:rsidP="00334283">
      <w:pPr>
        <w:jc w:val="both"/>
        <w:rPr>
          <w:rFonts w:eastAsia="Times New Roman"/>
          <w:color w:val="000000" w:themeColor="text1"/>
          <w:szCs w:val="24"/>
        </w:rPr>
      </w:pPr>
      <w:r>
        <w:rPr>
          <w:rFonts w:eastAsia="Times New Roman"/>
          <w:color w:val="000000" w:themeColor="text1"/>
          <w:szCs w:val="24"/>
        </w:rPr>
        <w:t xml:space="preserve">As it stands today, </w:t>
      </w:r>
      <w:r w:rsidR="00C83C0F">
        <w:rPr>
          <w:rFonts w:eastAsia="Times New Roman"/>
          <w:color w:val="000000" w:themeColor="text1"/>
          <w:szCs w:val="24"/>
        </w:rPr>
        <w:t>8</w:t>
      </w:r>
      <w:r w:rsidR="00A921C7">
        <w:rPr>
          <w:rFonts w:eastAsia="Times New Roman"/>
          <w:color w:val="000000" w:themeColor="text1"/>
          <w:szCs w:val="24"/>
        </w:rPr>
        <w:t>5</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DD5792">
        <w:rPr>
          <w:rFonts w:eastAsia="Times New Roman"/>
          <w:color w:val="000000" w:themeColor="text1"/>
          <w:szCs w:val="24"/>
        </w:rPr>
        <w:t>W</w:t>
      </w:r>
      <w:r w:rsidR="003C2229">
        <w:rPr>
          <w:rFonts w:eastAsia="Times New Roman"/>
          <w:color w:val="000000" w:themeColor="text1"/>
          <w:szCs w:val="24"/>
        </w:rPr>
        <w:t>hile in 201</w:t>
      </w:r>
      <w:r w:rsidR="00DD5792">
        <w:rPr>
          <w:rFonts w:eastAsia="Times New Roman"/>
          <w:color w:val="000000" w:themeColor="text1"/>
          <w:szCs w:val="24"/>
        </w:rPr>
        <w:t>2 Saint-Louis de Kent</w:t>
      </w:r>
      <w:r w:rsidR="003C2229">
        <w:rPr>
          <w:rFonts w:eastAsia="Times New Roman"/>
          <w:color w:val="000000" w:themeColor="text1"/>
          <w:szCs w:val="24"/>
        </w:rPr>
        <w:t xml:space="preserve"> reported a voter participation rate higher than the provincial average</w:t>
      </w:r>
      <w:r w:rsidR="0045109F">
        <w:rPr>
          <w:rFonts w:eastAsia="Times New Roman"/>
          <w:color w:val="000000" w:themeColor="text1"/>
          <w:szCs w:val="24"/>
        </w:rPr>
        <w:t>, 201</w:t>
      </w:r>
      <w:r w:rsidR="009B0AB2">
        <w:rPr>
          <w:rFonts w:eastAsia="Times New Roman"/>
          <w:color w:val="000000" w:themeColor="text1"/>
          <w:szCs w:val="24"/>
        </w:rPr>
        <w:t>6</w:t>
      </w:r>
      <w:r w:rsidR="00294052">
        <w:rPr>
          <w:rFonts w:eastAsia="Times New Roman"/>
          <w:color w:val="000000" w:themeColor="text1"/>
          <w:szCs w:val="24"/>
        </w:rPr>
        <w:t xml:space="preserve">’s quadrennial election was decided by acclamation because </w:t>
      </w:r>
      <w:r w:rsidR="00C434EE">
        <w:rPr>
          <w:rFonts w:eastAsia="Times New Roman"/>
          <w:color w:val="000000" w:themeColor="text1"/>
          <w:szCs w:val="24"/>
        </w:rPr>
        <w:t xml:space="preserve">not enough candidates were nominated to warrant a contested election. This circumstance is </w:t>
      </w:r>
      <w:r w:rsidR="000366A7">
        <w:rPr>
          <w:rFonts w:eastAsia="Times New Roman"/>
          <w:color w:val="000000" w:themeColor="text1"/>
          <w:szCs w:val="24"/>
        </w:rPr>
        <w:t xml:space="preserve">unfortunately quite common across the province. </w:t>
      </w:r>
      <w:r w:rsidR="00C608C9">
        <w:rPr>
          <w:rFonts w:eastAsia="Times New Roman"/>
          <w:color w:val="000000" w:themeColor="text1"/>
          <w:szCs w:val="24"/>
        </w:rPr>
        <w:t>Saint-Louis de Kent</w:t>
      </w:r>
      <w:r w:rsidR="000366A7">
        <w:rPr>
          <w:rFonts w:eastAsia="Times New Roman"/>
          <w:color w:val="000000" w:themeColor="text1"/>
          <w:szCs w:val="24"/>
        </w:rPr>
        <w:t xml:space="preserve">, like many </w:t>
      </w:r>
      <w:r w:rsidR="004B0AC7">
        <w:rPr>
          <w:rFonts w:eastAsia="Times New Roman"/>
          <w:color w:val="000000" w:themeColor="text1"/>
          <w:szCs w:val="24"/>
        </w:rPr>
        <w:t>other municipalities, has high voter participation which would appear to</w:t>
      </w:r>
      <w:r w:rsidR="001F1E7F">
        <w:rPr>
          <w:rFonts w:eastAsia="Times New Roman"/>
          <w:color w:val="000000" w:themeColor="text1"/>
          <w:szCs w:val="24"/>
        </w:rPr>
        <w:t xml:space="preserve"> indicate that the community’s democratic institutions are in good health. </w:t>
      </w:r>
      <w:r w:rsidR="00734B3F">
        <w:rPr>
          <w:rFonts w:eastAsia="Times New Roman"/>
          <w:color w:val="000000" w:themeColor="text1"/>
          <w:szCs w:val="24"/>
        </w:rPr>
        <w:t xml:space="preserve">However, the contraction in </w:t>
      </w:r>
      <w:r w:rsidR="00902E69">
        <w:rPr>
          <w:rFonts w:eastAsia="Times New Roman"/>
          <w:color w:val="000000" w:themeColor="text1"/>
          <w:szCs w:val="24"/>
        </w:rPr>
        <w:t xml:space="preserve">population </w:t>
      </w:r>
      <w:r w:rsidR="006233C2">
        <w:rPr>
          <w:rFonts w:eastAsia="Times New Roman"/>
          <w:color w:val="000000" w:themeColor="text1"/>
          <w:szCs w:val="24"/>
        </w:rPr>
        <w:t>mu</w:t>
      </w:r>
      <w:r w:rsidR="00C608C9">
        <w:rPr>
          <w:rFonts w:eastAsia="Times New Roman"/>
          <w:color w:val="000000" w:themeColor="text1"/>
          <w:szCs w:val="24"/>
        </w:rPr>
        <w:t>s</w:t>
      </w:r>
      <w:r w:rsidR="006233C2">
        <w:rPr>
          <w:rFonts w:eastAsia="Times New Roman"/>
          <w:color w:val="000000" w:themeColor="text1"/>
          <w:szCs w:val="24"/>
        </w:rPr>
        <w:t xml:space="preserve">t eventually be accompanied by a contraction in the community’s pool of potential candidates. While less quantifiable than voter participation, if a community cannot sustain a pool of interested, qualified, and dedicated potential candidates for public office, </w:t>
      </w:r>
      <w:r w:rsidR="009D4657">
        <w:rPr>
          <w:rFonts w:eastAsia="Times New Roman"/>
          <w:color w:val="000000" w:themeColor="text1"/>
          <w:szCs w:val="24"/>
        </w:rPr>
        <w:t xml:space="preserve">the community’s democratic institutions will suffer. </w:t>
      </w:r>
      <w:r w:rsidR="00AE0EE4">
        <w:rPr>
          <w:rFonts w:eastAsia="Times New Roman"/>
          <w:color w:val="000000" w:themeColor="text1"/>
          <w:szCs w:val="24"/>
        </w:rPr>
        <w:t>Acclamations</w:t>
      </w:r>
      <w:r w:rsidR="009D4657">
        <w:rPr>
          <w:rFonts w:eastAsia="Times New Roman"/>
          <w:color w:val="000000" w:themeColor="text1"/>
          <w:szCs w:val="24"/>
        </w:rPr>
        <w:t xml:space="preserve">, </w:t>
      </w:r>
      <w:r w:rsidR="00AE0EE4">
        <w:rPr>
          <w:rFonts w:eastAsia="Times New Roman"/>
          <w:color w:val="000000" w:themeColor="text1"/>
          <w:szCs w:val="24"/>
        </w:rPr>
        <w:t>resignations</w:t>
      </w:r>
      <w:r w:rsidR="009D4657">
        <w:rPr>
          <w:rFonts w:eastAsia="Times New Roman"/>
          <w:color w:val="000000" w:themeColor="text1"/>
          <w:szCs w:val="24"/>
        </w:rPr>
        <w:t xml:space="preserve"> and byelections all serve to </w:t>
      </w:r>
      <w:r w:rsidR="00134CB1">
        <w:rPr>
          <w:rFonts w:eastAsia="Times New Roman"/>
          <w:color w:val="000000" w:themeColor="text1"/>
          <w:szCs w:val="24"/>
        </w:rPr>
        <w:t>increase voter apathy</w:t>
      </w:r>
      <w:r w:rsidR="006233C2">
        <w:rPr>
          <w:rFonts w:eastAsia="Times New Roman"/>
          <w:color w:val="000000" w:themeColor="text1"/>
          <w:szCs w:val="24"/>
        </w:rPr>
        <w:t xml:space="preserve"> </w:t>
      </w:r>
      <w:r w:rsidR="00AE0EE4">
        <w:rPr>
          <w:rFonts w:eastAsia="Times New Roman"/>
          <w:color w:val="000000" w:themeColor="text1"/>
          <w:szCs w:val="24"/>
        </w:rPr>
        <w:t xml:space="preserve">which in turn </w:t>
      </w:r>
      <w:r w:rsidR="00417517">
        <w:rPr>
          <w:rFonts w:eastAsia="Times New Roman"/>
          <w:color w:val="000000" w:themeColor="text1"/>
          <w:szCs w:val="24"/>
        </w:rPr>
        <w:t xml:space="preserve">damages public accountability. </w:t>
      </w:r>
    </w:p>
    <w:p w14:paraId="419E6FF5" w14:textId="4FA111B4" w:rsidR="0064551D" w:rsidRDefault="0064551D" w:rsidP="009C61E7">
      <w:pPr>
        <w:rPr>
          <w:rFonts w:eastAsia="Times New Roman"/>
          <w:color w:val="000000" w:themeColor="text1"/>
          <w:szCs w:val="24"/>
        </w:rPr>
      </w:pPr>
    </w:p>
    <w:tbl>
      <w:tblPr>
        <w:tblpPr w:leftFromText="180" w:rightFromText="180" w:vertAnchor="text" w:horzAnchor="margin" w:tblpXSpec="right" w:tblpYSpec="top"/>
        <w:tblOverlap w:val="never"/>
        <w:tblW w:w="5816" w:type="dxa"/>
        <w:tblLook w:val="04A0" w:firstRow="1" w:lastRow="0" w:firstColumn="1" w:lastColumn="0" w:noHBand="0" w:noVBand="1"/>
      </w:tblPr>
      <w:tblGrid>
        <w:gridCol w:w="2690"/>
        <w:gridCol w:w="1563"/>
        <w:gridCol w:w="1563"/>
      </w:tblGrid>
      <w:tr w:rsidR="00334283" w:rsidRPr="00334283" w14:paraId="331EB626" w14:textId="77777777" w:rsidTr="00334283">
        <w:trPr>
          <w:trHeight w:val="310"/>
        </w:trPr>
        <w:tc>
          <w:tcPr>
            <w:tcW w:w="5816" w:type="dxa"/>
            <w:gridSpan w:val="3"/>
            <w:tcBorders>
              <w:top w:val="nil"/>
              <w:left w:val="nil"/>
              <w:bottom w:val="single" w:sz="8" w:space="0" w:color="BFBFBF"/>
              <w:right w:val="nil"/>
            </w:tcBorders>
            <w:shd w:val="clear" w:color="auto" w:fill="auto"/>
            <w:noWrap/>
            <w:vAlign w:val="center"/>
            <w:hideMark/>
          </w:tcPr>
          <w:p w14:paraId="17C67261" w14:textId="77777777" w:rsidR="00334283" w:rsidRPr="00334283" w:rsidRDefault="00334283" w:rsidP="00334283">
            <w:pPr>
              <w:spacing w:after="0" w:line="240" w:lineRule="auto"/>
              <w:jc w:val="center"/>
              <w:rPr>
                <w:rFonts w:eastAsia="Times New Roman"/>
                <w:b/>
                <w:bCs/>
                <w:color w:val="000000"/>
                <w:szCs w:val="24"/>
                <w:lang w:val="en-CA" w:eastAsia="en-CA"/>
              </w:rPr>
            </w:pPr>
            <w:r w:rsidRPr="00334283">
              <w:rPr>
                <w:rFonts w:eastAsia="Times New Roman"/>
                <w:b/>
                <w:bCs/>
                <w:color w:val="000000"/>
                <w:szCs w:val="24"/>
                <w:lang w:val="en-CA" w:eastAsia="en-CA"/>
              </w:rPr>
              <w:lastRenderedPageBreak/>
              <w:t>Voter Turnout by Existing Municipality</w:t>
            </w:r>
          </w:p>
        </w:tc>
      </w:tr>
      <w:tr w:rsidR="00334283" w:rsidRPr="00334283" w14:paraId="613B591D" w14:textId="77777777" w:rsidTr="00334283">
        <w:trPr>
          <w:trHeight w:val="970"/>
        </w:trPr>
        <w:tc>
          <w:tcPr>
            <w:tcW w:w="2690" w:type="dxa"/>
            <w:tcBorders>
              <w:top w:val="nil"/>
              <w:left w:val="nil"/>
              <w:bottom w:val="nil"/>
              <w:right w:val="nil"/>
            </w:tcBorders>
            <w:shd w:val="clear" w:color="4472C4" w:fill="4472C4"/>
            <w:vAlign w:val="center"/>
            <w:hideMark/>
          </w:tcPr>
          <w:p w14:paraId="3C3EB183" w14:textId="77777777" w:rsidR="00334283" w:rsidRPr="00334283" w:rsidRDefault="00334283" w:rsidP="00334283">
            <w:pPr>
              <w:spacing w:after="0" w:line="240" w:lineRule="auto"/>
              <w:jc w:val="center"/>
              <w:rPr>
                <w:rFonts w:eastAsia="Times New Roman"/>
                <w:b/>
                <w:bCs/>
                <w:color w:val="000000"/>
                <w:szCs w:val="24"/>
                <w:lang w:val="en-CA" w:eastAsia="en-CA"/>
              </w:rPr>
            </w:pPr>
            <w:r w:rsidRPr="00334283">
              <w:rPr>
                <w:rFonts w:eastAsia="Times New Roman"/>
                <w:b/>
                <w:bCs/>
                <w:color w:val="000000"/>
                <w:szCs w:val="24"/>
                <w:lang w:val="en-CA" w:eastAsia="en-CA"/>
              </w:rPr>
              <w:t>Municipality</w:t>
            </w:r>
          </w:p>
        </w:tc>
        <w:tc>
          <w:tcPr>
            <w:tcW w:w="1563" w:type="dxa"/>
            <w:tcBorders>
              <w:top w:val="nil"/>
              <w:left w:val="single" w:sz="4" w:space="0" w:color="FFFFFF"/>
              <w:bottom w:val="nil"/>
              <w:right w:val="nil"/>
            </w:tcBorders>
            <w:shd w:val="clear" w:color="4472C4" w:fill="4472C4"/>
            <w:hideMark/>
          </w:tcPr>
          <w:p w14:paraId="4C2CC309" w14:textId="77777777" w:rsidR="00334283" w:rsidRPr="00334283" w:rsidRDefault="00334283" w:rsidP="00334283">
            <w:pPr>
              <w:spacing w:after="0" w:line="240" w:lineRule="auto"/>
              <w:jc w:val="center"/>
              <w:rPr>
                <w:rFonts w:eastAsia="Times New Roman"/>
                <w:b/>
                <w:bCs/>
                <w:color w:val="000000"/>
                <w:szCs w:val="24"/>
                <w:lang w:val="en-CA" w:eastAsia="en-CA"/>
              </w:rPr>
            </w:pPr>
            <w:r w:rsidRPr="00334283">
              <w:rPr>
                <w:rFonts w:eastAsia="Times New Roman"/>
                <w:b/>
                <w:bCs/>
                <w:color w:val="000000"/>
                <w:szCs w:val="24"/>
                <w:lang w:val="en-CA" w:eastAsia="en-CA"/>
              </w:rPr>
              <w:t>Voter Participation 2012</w:t>
            </w:r>
            <w:r w:rsidRPr="00334283">
              <w:rPr>
                <w:rFonts w:eastAsia="Times New Roman"/>
                <w:b/>
                <w:bCs/>
                <w:color w:val="000000"/>
                <w:szCs w:val="24"/>
                <w:vertAlign w:val="superscript"/>
                <w:lang w:val="en-CA" w:eastAsia="en-CA"/>
              </w:rPr>
              <w:t>1</w:t>
            </w:r>
          </w:p>
        </w:tc>
        <w:tc>
          <w:tcPr>
            <w:tcW w:w="1563" w:type="dxa"/>
            <w:tcBorders>
              <w:top w:val="nil"/>
              <w:left w:val="single" w:sz="4" w:space="0" w:color="FFFFFF"/>
              <w:bottom w:val="nil"/>
              <w:right w:val="nil"/>
            </w:tcBorders>
            <w:shd w:val="clear" w:color="4472C4" w:fill="4472C4"/>
            <w:hideMark/>
          </w:tcPr>
          <w:p w14:paraId="6C42FEF1" w14:textId="77777777" w:rsidR="00334283" w:rsidRPr="00334283" w:rsidRDefault="00334283" w:rsidP="00334283">
            <w:pPr>
              <w:spacing w:after="0" w:line="240" w:lineRule="auto"/>
              <w:jc w:val="center"/>
              <w:rPr>
                <w:rFonts w:eastAsia="Times New Roman"/>
                <w:b/>
                <w:bCs/>
                <w:color w:val="000000"/>
                <w:szCs w:val="24"/>
                <w:lang w:val="en-CA" w:eastAsia="en-CA"/>
              </w:rPr>
            </w:pPr>
            <w:r w:rsidRPr="00334283">
              <w:rPr>
                <w:rFonts w:eastAsia="Times New Roman"/>
                <w:b/>
                <w:bCs/>
                <w:color w:val="000000"/>
                <w:szCs w:val="24"/>
                <w:lang w:val="en-CA" w:eastAsia="en-CA"/>
              </w:rPr>
              <w:t>Voter Participation 2016</w:t>
            </w:r>
          </w:p>
        </w:tc>
      </w:tr>
      <w:tr w:rsidR="00334283" w:rsidRPr="00334283" w14:paraId="2DA84012" w14:textId="77777777" w:rsidTr="00334283">
        <w:trPr>
          <w:trHeight w:val="320"/>
        </w:trPr>
        <w:tc>
          <w:tcPr>
            <w:tcW w:w="2690" w:type="dxa"/>
            <w:tcBorders>
              <w:top w:val="single" w:sz="12" w:space="0" w:color="FFFFFF"/>
              <w:left w:val="nil"/>
              <w:bottom w:val="nil"/>
              <w:right w:val="nil"/>
            </w:tcBorders>
            <w:shd w:val="clear" w:color="B4C6E7" w:fill="B4C6E7"/>
            <w:noWrap/>
            <w:vAlign w:val="bottom"/>
            <w:hideMark/>
          </w:tcPr>
          <w:p w14:paraId="3CD6873A" w14:textId="77777777" w:rsidR="00334283" w:rsidRPr="00334283" w:rsidRDefault="00334283" w:rsidP="00334283">
            <w:pPr>
              <w:spacing w:after="0" w:line="240" w:lineRule="auto"/>
              <w:rPr>
                <w:rFonts w:eastAsia="Times New Roman"/>
                <w:color w:val="000000"/>
                <w:szCs w:val="24"/>
                <w:lang w:val="en-CA" w:eastAsia="en-CA"/>
              </w:rPr>
            </w:pPr>
            <w:r w:rsidRPr="00334283">
              <w:rPr>
                <w:rFonts w:eastAsia="Times New Roman"/>
                <w:color w:val="000000"/>
                <w:szCs w:val="24"/>
                <w:lang w:val="en-CA" w:eastAsia="en-CA"/>
              </w:rPr>
              <w:t>Saint-Louis de Kent</w:t>
            </w:r>
          </w:p>
        </w:tc>
        <w:tc>
          <w:tcPr>
            <w:tcW w:w="1563" w:type="dxa"/>
            <w:tcBorders>
              <w:top w:val="single" w:sz="12" w:space="0" w:color="FFFFFF"/>
              <w:left w:val="single" w:sz="4" w:space="0" w:color="FFFFFF"/>
              <w:bottom w:val="nil"/>
              <w:right w:val="nil"/>
            </w:tcBorders>
            <w:shd w:val="clear" w:color="B4C6E7" w:fill="B4C6E7"/>
            <w:noWrap/>
            <w:vAlign w:val="bottom"/>
            <w:hideMark/>
          </w:tcPr>
          <w:p w14:paraId="0D0E7FCF" w14:textId="77777777" w:rsidR="00334283" w:rsidRPr="00334283" w:rsidRDefault="00334283" w:rsidP="00334283">
            <w:pPr>
              <w:spacing w:after="0" w:line="240" w:lineRule="auto"/>
              <w:jc w:val="right"/>
              <w:rPr>
                <w:rFonts w:eastAsia="Times New Roman"/>
                <w:color w:val="000000"/>
                <w:szCs w:val="24"/>
                <w:lang w:val="en-CA" w:eastAsia="en-CA"/>
              </w:rPr>
            </w:pPr>
            <w:r w:rsidRPr="00334283">
              <w:rPr>
                <w:rFonts w:eastAsia="Times New Roman"/>
                <w:color w:val="000000"/>
                <w:szCs w:val="24"/>
                <w:lang w:val="en-CA" w:eastAsia="en-CA"/>
              </w:rPr>
              <w:t>60.8%</w:t>
            </w:r>
          </w:p>
        </w:tc>
        <w:tc>
          <w:tcPr>
            <w:tcW w:w="1563" w:type="dxa"/>
            <w:tcBorders>
              <w:top w:val="single" w:sz="12" w:space="0" w:color="FFFFFF"/>
              <w:left w:val="single" w:sz="4" w:space="0" w:color="FFFFFF"/>
              <w:bottom w:val="nil"/>
              <w:right w:val="nil"/>
            </w:tcBorders>
            <w:shd w:val="clear" w:color="B4C6E7" w:fill="B4C6E7"/>
            <w:noWrap/>
            <w:vAlign w:val="bottom"/>
            <w:hideMark/>
          </w:tcPr>
          <w:p w14:paraId="0049E379" w14:textId="77777777" w:rsidR="00334283" w:rsidRPr="00334283" w:rsidRDefault="00334283" w:rsidP="00334283">
            <w:pPr>
              <w:spacing w:after="0" w:line="240" w:lineRule="auto"/>
              <w:jc w:val="right"/>
              <w:rPr>
                <w:rFonts w:eastAsia="Times New Roman"/>
                <w:color w:val="000000"/>
                <w:szCs w:val="24"/>
                <w:lang w:val="en-CA" w:eastAsia="en-CA"/>
              </w:rPr>
            </w:pPr>
            <w:r w:rsidRPr="00334283">
              <w:rPr>
                <w:rFonts w:eastAsia="Times New Roman"/>
                <w:color w:val="000000"/>
                <w:szCs w:val="24"/>
                <w:lang w:val="en-CA" w:eastAsia="en-CA"/>
              </w:rPr>
              <w:t>acclaimed</w:t>
            </w:r>
          </w:p>
        </w:tc>
      </w:tr>
      <w:tr w:rsidR="00334283" w:rsidRPr="00334283" w14:paraId="0DD55175" w14:textId="77777777" w:rsidTr="00334283">
        <w:trPr>
          <w:trHeight w:val="290"/>
        </w:trPr>
        <w:tc>
          <w:tcPr>
            <w:tcW w:w="5816" w:type="dxa"/>
            <w:gridSpan w:val="3"/>
            <w:tcBorders>
              <w:top w:val="nil"/>
              <w:left w:val="nil"/>
              <w:bottom w:val="nil"/>
              <w:right w:val="nil"/>
            </w:tcBorders>
            <w:shd w:val="clear" w:color="auto" w:fill="auto"/>
            <w:noWrap/>
            <w:vAlign w:val="bottom"/>
            <w:hideMark/>
          </w:tcPr>
          <w:p w14:paraId="2AAEC557" w14:textId="77777777" w:rsidR="00334283" w:rsidRPr="00334283" w:rsidRDefault="00334283" w:rsidP="00334283">
            <w:pPr>
              <w:spacing w:after="0" w:line="240" w:lineRule="auto"/>
              <w:rPr>
                <w:rFonts w:eastAsia="Times New Roman"/>
                <w:color w:val="000000"/>
                <w:sz w:val="20"/>
                <w:szCs w:val="20"/>
                <w:lang w:val="en-CA" w:eastAsia="en-CA"/>
              </w:rPr>
            </w:pPr>
            <w:r w:rsidRPr="00334283">
              <w:rPr>
                <w:rFonts w:eastAsia="Times New Roman"/>
                <w:color w:val="000000"/>
                <w:sz w:val="20"/>
                <w:szCs w:val="20"/>
                <w:lang w:val="en-CA" w:eastAsia="en-CA"/>
              </w:rPr>
              <w:t>1. Elections NB</w:t>
            </w:r>
          </w:p>
        </w:tc>
      </w:tr>
    </w:tbl>
    <w:p w14:paraId="5562F572" w14:textId="70A41E37" w:rsidR="00417517" w:rsidRDefault="004B2B8C" w:rsidP="00334283">
      <w:pPr>
        <w:jc w:val="both"/>
        <w:rPr>
          <w:rFonts w:eastAsia="Times New Roman"/>
          <w:color w:val="000000" w:themeColor="text1"/>
          <w:szCs w:val="24"/>
        </w:rPr>
      </w:pPr>
      <w:r>
        <w:rPr>
          <w:rFonts w:eastAsia="Times New Roman"/>
          <w:color w:val="000000" w:themeColor="text1"/>
          <w:szCs w:val="24"/>
        </w:rPr>
        <w:t>T</w:t>
      </w:r>
      <w:r w:rsidR="00417517">
        <w:rPr>
          <w:rFonts w:eastAsia="Times New Roman"/>
          <w:color w:val="000000" w:themeColor="text1"/>
          <w:szCs w:val="24"/>
        </w:rPr>
        <w:t xml:space="preserve">he solution for </w:t>
      </w:r>
      <w:r w:rsidR="00C608C9">
        <w:rPr>
          <w:rFonts w:eastAsia="Times New Roman"/>
          <w:color w:val="000000" w:themeColor="text1"/>
          <w:szCs w:val="24"/>
        </w:rPr>
        <w:t>Saint-Louis de Kent</w:t>
      </w:r>
      <w:r w:rsidR="00417517">
        <w:rPr>
          <w:rFonts w:eastAsia="Times New Roman"/>
          <w:color w:val="000000" w:themeColor="text1"/>
          <w:szCs w:val="24"/>
        </w:rPr>
        <w:t xml:space="preserve"> is therefore to </w:t>
      </w:r>
      <w:r>
        <w:rPr>
          <w:rFonts w:eastAsia="Times New Roman"/>
          <w:color w:val="000000" w:themeColor="text1"/>
          <w:szCs w:val="24"/>
        </w:rPr>
        <w:t xml:space="preserve">expand incorporation and suffrage to contiguous LSDs. </w:t>
      </w:r>
      <w:r w:rsidR="00435355">
        <w:rPr>
          <w:rFonts w:eastAsia="Times New Roman"/>
          <w:color w:val="000000" w:themeColor="text1"/>
          <w:szCs w:val="24"/>
        </w:rPr>
        <w:t xml:space="preserve">Expanding the electorate </w:t>
      </w:r>
      <w:r w:rsidR="00BF687D">
        <w:rPr>
          <w:rFonts w:eastAsia="Times New Roman"/>
          <w:color w:val="000000" w:themeColor="text1"/>
          <w:szCs w:val="24"/>
        </w:rPr>
        <w:t xml:space="preserve">creates </w:t>
      </w:r>
      <w:r w:rsidR="00523BD5">
        <w:rPr>
          <w:rFonts w:eastAsia="Times New Roman"/>
          <w:color w:val="000000" w:themeColor="text1"/>
          <w:szCs w:val="24"/>
        </w:rPr>
        <w:t xml:space="preserve">a greater competition of interests, leading to </w:t>
      </w:r>
      <w:r w:rsidR="00BF687D">
        <w:rPr>
          <w:rFonts w:eastAsia="Times New Roman"/>
          <w:color w:val="000000" w:themeColor="text1"/>
          <w:szCs w:val="24"/>
        </w:rPr>
        <w:t xml:space="preserve">better accountability. However, the </w:t>
      </w:r>
      <w:r w:rsidR="00111E79">
        <w:rPr>
          <w:rFonts w:eastAsia="Times New Roman"/>
          <w:color w:val="000000" w:themeColor="text1"/>
          <w:szCs w:val="24"/>
        </w:rPr>
        <w:t xml:space="preserve">more immediate benefit for </w:t>
      </w:r>
      <w:r w:rsidR="00563B0B">
        <w:rPr>
          <w:rFonts w:eastAsia="Times New Roman"/>
          <w:color w:val="000000" w:themeColor="text1"/>
          <w:szCs w:val="24"/>
        </w:rPr>
        <w:t xml:space="preserve">the proposed municipality is the expansion of the potential candidate pool. </w:t>
      </w:r>
      <w:r w:rsidR="007C79CD">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7C79CD" w:rsidRPr="00226288">
        <w:rPr>
          <w:rFonts w:eastAsia="Times New Roman"/>
          <w:color w:val="000000" w:themeColor="text1"/>
          <w:szCs w:val="24"/>
        </w:rPr>
        <w:t>Eel River Crossing’s first election s</w:t>
      </w:r>
      <w:r w:rsidR="007C79CD">
        <w:rPr>
          <w:rFonts w:eastAsia="Times New Roman"/>
          <w:color w:val="000000" w:themeColor="text1"/>
          <w:szCs w:val="24"/>
        </w:rPr>
        <w:t xml:space="preserve">aw 8 </w:t>
      </w:r>
      <w:r w:rsidR="007C79CD" w:rsidRPr="00226288">
        <w:rPr>
          <w:rFonts w:eastAsia="Times New Roman"/>
          <w:color w:val="000000" w:themeColor="text1"/>
          <w:szCs w:val="24"/>
        </w:rPr>
        <w:t xml:space="preserve">candidates compete for 4 at-large councillor positions. Of these </w:t>
      </w:r>
      <w:r w:rsidR="007C79CD">
        <w:rPr>
          <w:rFonts w:eastAsia="Times New Roman"/>
          <w:color w:val="000000" w:themeColor="text1"/>
          <w:szCs w:val="24"/>
        </w:rPr>
        <w:t>8</w:t>
      </w:r>
      <w:r w:rsidR="007C79CD" w:rsidRPr="00226288">
        <w:rPr>
          <w:rFonts w:eastAsia="Times New Roman"/>
          <w:color w:val="000000" w:themeColor="text1"/>
          <w:szCs w:val="24"/>
        </w:rPr>
        <w:t xml:space="preserve"> candidates, 4 were from previously unincorporated areas.</w:t>
      </w:r>
      <w:r w:rsidR="00E319DE">
        <w:rPr>
          <w:rFonts w:eastAsia="Times New Roman"/>
          <w:color w:val="000000" w:themeColor="text1"/>
          <w:szCs w:val="24"/>
        </w:rPr>
        <w:t xml:space="preserve"> The </w:t>
      </w:r>
      <w:r w:rsidR="00EB0FD9">
        <w:rPr>
          <w:rFonts w:eastAsia="Times New Roman"/>
          <w:color w:val="000000" w:themeColor="text1"/>
          <w:szCs w:val="24"/>
        </w:rPr>
        <w:t>amalgamation</w:t>
      </w:r>
      <w:r w:rsidR="00E319DE">
        <w:rPr>
          <w:rFonts w:eastAsia="Times New Roman"/>
          <w:color w:val="000000" w:themeColor="text1"/>
          <w:szCs w:val="24"/>
        </w:rPr>
        <w:t xml:space="preserve"> of contiguous local governance entities should therefore be considered by the </w:t>
      </w:r>
      <w:r w:rsidR="00A62FFB">
        <w:rPr>
          <w:rFonts w:eastAsia="Times New Roman"/>
          <w:color w:val="000000" w:themeColor="text1"/>
          <w:szCs w:val="24"/>
        </w:rPr>
        <w:t>residents of the entities concerned</w:t>
      </w:r>
      <w:r w:rsidR="00740251">
        <w:rPr>
          <w:rFonts w:eastAsia="Times New Roman"/>
          <w:color w:val="000000" w:themeColor="text1"/>
          <w:szCs w:val="24"/>
        </w:rPr>
        <w:t>.</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0DDA7C3A" w14:textId="05DC926E" w:rsidR="009A54E1" w:rsidRPr="00226288" w:rsidRDefault="009A54E1" w:rsidP="009A54E1">
      <w:r>
        <w:t>Entity 22</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397F803F" w:rsidR="00226288" w:rsidRPr="00697622" w:rsidRDefault="00226288" w:rsidP="00226288">
      <w:pPr>
        <w:rPr>
          <w:rFonts w:eastAsia="Times New Roman"/>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264855">
        <w:t>Entity 22</w:t>
      </w:r>
      <w:r w:rsidR="00B125F3">
        <w:t xml:space="preserve"> would qualify as a ‘Group </w:t>
      </w:r>
      <w:r w:rsidR="00091112">
        <w:t>A</w:t>
      </w:r>
      <w:r w:rsidR="003B2A08">
        <w:t>’</w:t>
      </w:r>
      <w:r w:rsidRPr="00226288">
        <w:t xml:space="preserve"> municipality</w:t>
      </w:r>
      <w:r w:rsidR="003011C3">
        <w:t xml:space="preserve">. </w:t>
      </w:r>
      <w:r w:rsidR="00393154">
        <w:t xml:space="preserve">As Entity 22’s assessment base per capita </w:t>
      </w:r>
      <w:r w:rsidR="00393154" w:rsidRPr="000852E9">
        <w:rPr>
          <w:szCs w:val="24"/>
        </w:rPr>
        <w:t xml:space="preserve">would </w:t>
      </w:r>
      <w:r w:rsidR="00393154">
        <w:rPr>
          <w:szCs w:val="24"/>
        </w:rPr>
        <w:t>be lesser than</w:t>
      </w:r>
      <w:r w:rsidR="00393154" w:rsidRPr="000852E9">
        <w:rPr>
          <w:szCs w:val="24"/>
        </w:rPr>
        <w:t xml:space="preserve"> the group average, </w:t>
      </w:r>
      <w:r w:rsidR="00393154">
        <w:rPr>
          <w:szCs w:val="24"/>
        </w:rPr>
        <w:t>it would be entitled to an</w:t>
      </w:r>
      <w:r w:rsidR="00393154" w:rsidRPr="000852E9">
        <w:rPr>
          <w:szCs w:val="24"/>
        </w:rPr>
        <w:t xml:space="preserve"> annual equalization </w:t>
      </w:r>
      <w:r w:rsidR="00393154" w:rsidRPr="00FA1F49">
        <w:rPr>
          <w:szCs w:val="24"/>
        </w:rPr>
        <w:t xml:space="preserve">grant </w:t>
      </w:r>
      <w:r w:rsidR="00393154" w:rsidRPr="00697622">
        <w:rPr>
          <w:szCs w:val="24"/>
        </w:rPr>
        <w:t xml:space="preserve">of </w:t>
      </w:r>
      <w:r w:rsidR="00697622" w:rsidRPr="00697622">
        <w:rPr>
          <w:rFonts w:eastAsia="Times New Roman"/>
          <w:color w:val="000000"/>
          <w:szCs w:val="24"/>
          <w:lang w:val="en-CA" w:eastAsia="en-CA"/>
        </w:rPr>
        <w:t xml:space="preserve">$1,249,685 </w:t>
      </w:r>
      <w:r w:rsidR="00393154" w:rsidRPr="00697622">
        <w:rPr>
          <w:rFonts w:eastAsia="Times New Roman"/>
          <w:color w:val="000000"/>
          <w:szCs w:val="24"/>
          <w:lang w:val="en-CA" w:eastAsia="en-CA"/>
        </w:rPr>
        <w:t>to</w:t>
      </w:r>
      <w:r w:rsidR="00393154" w:rsidRPr="00FA1F49">
        <w:rPr>
          <w:rFonts w:eastAsia="Times New Roman"/>
          <w:color w:val="000000"/>
          <w:szCs w:val="24"/>
          <w:lang w:val="en-CA" w:eastAsia="en-CA"/>
        </w:rPr>
        <w:t xml:space="preserve"> ensure</w:t>
      </w:r>
      <w:r w:rsidR="00393154" w:rsidRPr="009E0C04">
        <w:rPr>
          <w:rFonts w:eastAsia="Times New Roman"/>
          <w:color w:val="000000"/>
          <w:szCs w:val="24"/>
          <w:lang w:val="en-CA" w:eastAsia="en-CA"/>
        </w:rPr>
        <w:t xml:space="preserve"> equal opportunity among the 53 municipal entities. </w:t>
      </w:r>
      <w:r w:rsidR="00393154" w:rsidRPr="009E0C04">
        <w:rPr>
          <w:szCs w:val="24"/>
        </w:rPr>
        <w:t>With the tax room transfer from the provincial</w:t>
      </w:r>
      <w:r w:rsidR="00393154" w:rsidRPr="00C61508">
        <w:rPr>
          <w:szCs w:val="24"/>
        </w:rPr>
        <w:t xml:space="preserve"> government to municipal </w:t>
      </w:r>
      <w:r w:rsidR="00393154" w:rsidRPr="00FA1F49">
        <w:rPr>
          <w:szCs w:val="24"/>
        </w:rPr>
        <w:t xml:space="preserve">governments included in the proposed new framework, </w:t>
      </w:r>
      <w:r w:rsidR="00393154">
        <w:rPr>
          <w:szCs w:val="24"/>
        </w:rPr>
        <w:t>Entity 22</w:t>
      </w:r>
      <w:r w:rsidR="00393154" w:rsidRPr="00FA1F49">
        <w:rPr>
          <w:szCs w:val="24"/>
        </w:rPr>
        <w:t xml:space="preserve">’s assessment base of </w:t>
      </w:r>
      <w:r w:rsidR="00393154" w:rsidRPr="00FA1F49">
        <w:rPr>
          <w:rFonts w:eastAsia="Times New Roman"/>
          <w:color w:val="000000"/>
          <w:szCs w:val="24"/>
          <w:lang w:val="en-CA" w:eastAsia="en-CA"/>
        </w:rPr>
        <w:t>$</w:t>
      </w:r>
      <w:r w:rsidR="00697622">
        <w:rPr>
          <w:rFonts w:eastAsia="Times New Roman"/>
          <w:color w:val="000000"/>
          <w:szCs w:val="24"/>
          <w:lang w:val="en-CA" w:eastAsia="en-CA"/>
        </w:rPr>
        <w:t>294,</w:t>
      </w:r>
      <w:r w:rsidR="00CB24A2">
        <w:rPr>
          <w:rFonts w:eastAsia="Times New Roman"/>
          <w:color w:val="000000"/>
          <w:szCs w:val="24"/>
          <w:lang w:val="en-CA" w:eastAsia="en-CA"/>
        </w:rPr>
        <w:t xml:space="preserve">840,100 </w:t>
      </w:r>
      <w:r w:rsidR="00393154" w:rsidRPr="00FA1F49">
        <w:rPr>
          <w:szCs w:val="24"/>
        </w:rPr>
        <w:t>would</w:t>
      </w:r>
      <w:r w:rsidR="00393154" w:rsidRPr="00A26B00">
        <w:rPr>
          <w:szCs w:val="24"/>
        </w:rPr>
        <w:t xml:space="preserve"> also be able to yield more revenue than it could under the current local governance regime.</w:t>
      </w:r>
      <w:r w:rsidR="00393154" w:rsidRPr="004E399E">
        <w:rPr>
          <w:szCs w:val="24"/>
        </w:rPr>
        <w:t xml:space="preserve"> Equal Opportunity among municipalities remains a priority in the new framework, but the primary guarantor of said equality is now tax warrants rather than equalization</w:t>
      </w:r>
      <w:r w:rsidR="00393154">
        <w:t xml:space="preserve"> payments.</w:t>
      </w:r>
    </w:p>
    <w:p w14:paraId="61B53BEF" w14:textId="6EE67DB3" w:rsidR="00226288" w:rsidRPr="00226288" w:rsidRDefault="00226288" w:rsidP="00226288">
      <w:r w:rsidRPr="00226288">
        <w:t xml:space="preserve">Of course, this tax room transfer does not necessitate that property tax rates will increase by $1.50 per $100 of valuation across </w:t>
      </w:r>
      <w:r w:rsidR="00264855">
        <w:t>Entity 22</w:t>
      </w:r>
      <w:r w:rsidRPr="00226288">
        <w:t xml:space="preserve">, nor does it indicate that the entire municipality will operate with one uniform property tax rate. </w:t>
      </w:r>
      <w:r w:rsidRPr="00226288">
        <w:rPr>
          <w:rFonts w:eastAsia="Times New Roman"/>
          <w:szCs w:val="24"/>
        </w:rPr>
        <w:t xml:space="preserve">Because </w:t>
      </w:r>
      <w:r w:rsidR="00264855">
        <w:rPr>
          <w:rFonts w:eastAsia="Times New Roman"/>
          <w:szCs w:val="24"/>
        </w:rPr>
        <w:t>Entity 22</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AEC704F" w:rsidR="00226288" w:rsidRPr="00226288" w:rsidRDefault="00226288" w:rsidP="00226288">
      <w:r w:rsidRPr="00226288">
        <w:lastRenderedPageBreak/>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264855">
        <w:t>Entity 22</w:t>
      </w:r>
      <w:r w:rsidR="003011C3">
        <w:t xml:space="preserve"> could easily implement a </w:t>
      </w:r>
      <w:r w:rsidR="00CB24A2">
        <w:t>two-tiered</w:t>
      </w:r>
      <w:r w:rsidR="003011C3">
        <w:t xml:space="preserve"> property tax regime similar to Fredericton and Dieppe where those inside the urban area and those outside are charged substantially different rates.  </w:t>
      </w:r>
    </w:p>
    <w:p w14:paraId="42654CD4" w14:textId="0059C04B" w:rsidR="00226288" w:rsidRPr="00226288" w:rsidRDefault="00226288" w:rsidP="00226288">
      <w:r w:rsidRPr="00226288">
        <w:t xml:space="preserve">Overall, then, </w:t>
      </w:r>
      <w:r w:rsidR="00264855">
        <w:t>Entity 22</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8EAD0E4" w:rsidR="00226288" w:rsidRPr="00226288" w:rsidRDefault="00226288" w:rsidP="00226288">
      <w:pPr>
        <w:rPr>
          <w:b/>
          <w:bCs/>
        </w:rPr>
      </w:pPr>
      <w:r w:rsidRPr="00226288">
        <w:rPr>
          <w:b/>
          <w:bCs/>
        </w:rPr>
        <w:t>Division of Municipal and Provincial Responsibilities</w:t>
      </w:r>
    </w:p>
    <w:p w14:paraId="3936984A" w14:textId="735C98B6" w:rsidR="00226288" w:rsidRPr="00226288" w:rsidRDefault="00762C21" w:rsidP="00226288">
      <w:r w:rsidRPr="00226288">
        <w:rPr>
          <w:noProof/>
          <w:lang w:val="en-CA" w:eastAsia="en-CA"/>
        </w:rPr>
        <w:drawing>
          <wp:anchor distT="0" distB="0" distL="114300" distR="114300" simplePos="0" relativeHeight="251682304" behindDoc="0" locked="0" layoutInCell="1" allowOverlap="1" wp14:anchorId="42151AEA" wp14:editId="7A0DD9F2">
            <wp:simplePos x="0" y="0"/>
            <wp:positionH relativeFrom="margin">
              <wp:posOffset>5168900</wp:posOffset>
            </wp:positionH>
            <wp:positionV relativeFrom="paragraph">
              <wp:posOffset>415925</wp:posOffset>
            </wp:positionV>
            <wp:extent cx="1035050" cy="1289685"/>
            <wp:effectExtent l="0" t="0" r="0" b="5715"/>
            <wp:wrapThrough wrapText="bothSides">
              <wp:wrapPolygon edited="0">
                <wp:start x="795" y="0"/>
                <wp:lineTo x="0" y="957"/>
                <wp:lineTo x="0" y="20739"/>
                <wp:lineTo x="795" y="21377"/>
                <wp:lineTo x="20275" y="21377"/>
                <wp:lineTo x="21070" y="20739"/>
                <wp:lineTo x="21070" y="957"/>
                <wp:lineTo x="20275" y="0"/>
                <wp:lineTo x="79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35050" cy="128968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94">
        <w:rPr>
          <w:noProof/>
          <w:szCs w:val="24"/>
        </w:rPr>
        <w:drawing>
          <wp:anchor distT="0" distB="0" distL="114300" distR="114300" simplePos="0" relativeHeight="251680256" behindDoc="0" locked="0" layoutInCell="1" allowOverlap="1" wp14:anchorId="3EFE97F1" wp14:editId="25AE33E3">
            <wp:simplePos x="0" y="0"/>
            <wp:positionH relativeFrom="column">
              <wp:posOffset>2823210</wp:posOffset>
            </wp:positionH>
            <wp:positionV relativeFrom="paragraph">
              <wp:posOffset>416560</wp:posOffset>
            </wp:positionV>
            <wp:extent cx="2907665" cy="3155950"/>
            <wp:effectExtent l="0" t="0" r="6985" b="6350"/>
            <wp:wrapThrough wrapText="bothSides">
              <wp:wrapPolygon edited="0">
                <wp:start x="0" y="0"/>
                <wp:lineTo x="0" y="21513"/>
                <wp:lineTo x="21510" y="21513"/>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766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264855">
        <w:rPr>
          <w:rFonts w:eastAsia="Times New Roman"/>
          <w:szCs w:val="24"/>
        </w:rPr>
        <w:t>Entity 22</w:t>
      </w:r>
      <w:r w:rsidR="00226288"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3E2AB739" w:rsidR="00226288" w:rsidRPr="00226288" w:rsidRDefault="00264855" w:rsidP="00226288">
      <w:pPr>
        <w:rPr>
          <w:rFonts w:eastAsia="Times New Roman"/>
          <w:szCs w:val="24"/>
        </w:rPr>
      </w:pPr>
      <w:r>
        <w:rPr>
          <w:rFonts w:eastAsia="Times New Roman"/>
          <w:szCs w:val="24"/>
        </w:rPr>
        <w:t>Entity 22</w:t>
      </w:r>
      <w:r w:rsidR="00226288" w:rsidRPr="00226288">
        <w:rPr>
          <w:rFonts w:eastAsia="Times New Roman"/>
          <w:szCs w:val="24"/>
        </w:rPr>
        <w:t xml:space="preserve"> would belong to </w:t>
      </w:r>
      <w:r>
        <w:rPr>
          <w:rFonts w:eastAsia="Times New Roman"/>
          <w:szCs w:val="24"/>
        </w:rPr>
        <w:t>RSD 6</w:t>
      </w:r>
      <w:r w:rsidR="00226288" w:rsidRPr="00226288">
        <w:rPr>
          <w:rFonts w:eastAsia="Times New Roman"/>
          <w:szCs w:val="24"/>
        </w:rPr>
        <w:t xml:space="preserve"> along with its neighbours Entities </w:t>
      </w:r>
      <w:r w:rsidR="00D515A4">
        <w:rPr>
          <w:rFonts w:eastAsia="Times New Roman"/>
          <w:szCs w:val="24"/>
        </w:rPr>
        <w:t>23</w:t>
      </w:r>
      <w:r w:rsidR="00DB6073">
        <w:rPr>
          <w:rFonts w:eastAsia="Times New Roman"/>
          <w:szCs w:val="24"/>
        </w:rPr>
        <w:t xml:space="preserve">, </w:t>
      </w:r>
      <w:r w:rsidR="00D515A4">
        <w:rPr>
          <w:rFonts w:eastAsia="Times New Roman"/>
          <w:szCs w:val="24"/>
        </w:rPr>
        <w:t>24</w:t>
      </w:r>
      <w:r w:rsidR="00DB6073">
        <w:rPr>
          <w:rFonts w:eastAsia="Times New Roman"/>
          <w:szCs w:val="24"/>
        </w:rPr>
        <w:t xml:space="preserve">, </w:t>
      </w:r>
      <w:r w:rsidR="006C5C01">
        <w:rPr>
          <w:rFonts w:eastAsia="Times New Roman"/>
          <w:szCs w:val="24"/>
        </w:rPr>
        <w:t xml:space="preserve">and </w:t>
      </w:r>
      <w:r w:rsidR="00DB6073">
        <w:rPr>
          <w:rFonts w:eastAsia="Times New Roman"/>
          <w:szCs w:val="24"/>
        </w:rPr>
        <w:t>2</w:t>
      </w:r>
      <w:r w:rsidR="006C5C01">
        <w:rPr>
          <w:rFonts w:eastAsia="Times New Roman"/>
          <w:szCs w:val="24"/>
        </w:rPr>
        <w:t>5</w:t>
      </w:r>
      <w:r w:rsidR="008E30F8">
        <w:rPr>
          <w:rFonts w:eastAsia="Times New Roman"/>
          <w:szCs w:val="24"/>
        </w:rPr>
        <w:t xml:space="preserve"> </w:t>
      </w:r>
      <w:r w:rsidR="00C72451">
        <w:rPr>
          <w:rFonts w:eastAsia="Times New Roman"/>
          <w:szCs w:val="24"/>
        </w:rPr>
        <w:t xml:space="preserve">covering </w:t>
      </w:r>
      <w:r w:rsidR="00FA2A26">
        <w:rPr>
          <w:rFonts w:eastAsia="Times New Roman"/>
          <w:szCs w:val="24"/>
        </w:rPr>
        <w:t>Kent</w:t>
      </w:r>
      <w:r w:rsidR="00906535">
        <w:rPr>
          <w:rFonts w:eastAsia="Times New Roman"/>
          <w:szCs w:val="24"/>
        </w:rPr>
        <w:t xml:space="preserve"> </w:t>
      </w:r>
      <w:r w:rsidR="00F351B8">
        <w:rPr>
          <w:rFonts w:eastAsia="Times New Roman"/>
          <w:szCs w:val="24"/>
        </w:rPr>
        <w:t>and portions of Northumberland and</w:t>
      </w:r>
      <w:r w:rsidR="00101D9B">
        <w:rPr>
          <w:rFonts w:eastAsia="Times New Roman"/>
          <w:szCs w:val="24"/>
        </w:rPr>
        <w:t xml:space="preserve"> Westmorland </w:t>
      </w:r>
      <w:r w:rsidR="00906535">
        <w:rPr>
          <w:rFonts w:eastAsia="Times New Roman"/>
          <w:szCs w:val="24"/>
        </w:rPr>
        <w:t>counties</w:t>
      </w:r>
      <w:r w:rsidR="00226288" w:rsidRPr="00226288">
        <w:rPr>
          <w:rFonts w:eastAsia="Times New Roman"/>
          <w:szCs w:val="24"/>
        </w:rPr>
        <w:t xml:space="preserve">. As with each municipal entity, RSDs could conceivably be named, but this would be left to each to determine for itself. All </w:t>
      </w:r>
      <w:r w:rsidR="00C77FBF">
        <w:rPr>
          <w:rFonts w:eastAsia="Times New Roman"/>
          <w:szCs w:val="24"/>
        </w:rPr>
        <w:t>4</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16B2F645" w:rsidR="00CB2BDF"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A22CB">
        <w:rPr>
          <w:rFonts w:eastAsia="Times New Roman"/>
          <w:szCs w:val="24"/>
        </w:rPr>
        <w:t xml:space="preserve">The plurality of commuters </w:t>
      </w:r>
      <w:r w:rsidR="00351E9F">
        <w:rPr>
          <w:rFonts w:eastAsia="Times New Roman"/>
          <w:szCs w:val="24"/>
        </w:rPr>
        <w:t xml:space="preserve">in RSD 6 travel outside of their own community each day but </w:t>
      </w:r>
      <w:r w:rsidR="00795A3D">
        <w:rPr>
          <w:rFonts w:eastAsia="Times New Roman"/>
          <w:szCs w:val="24"/>
        </w:rPr>
        <w:t xml:space="preserve">remain within Kent county. These </w:t>
      </w:r>
      <w:r w:rsidR="00795A3D">
        <w:rPr>
          <w:rFonts w:eastAsia="Times New Roman"/>
          <w:szCs w:val="24"/>
        </w:rPr>
        <w:lastRenderedPageBreak/>
        <w:t xml:space="preserve">commuter behaviours are an indication of the pre-existing </w:t>
      </w:r>
      <w:r w:rsidR="00610DF2">
        <w:rPr>
          <w:rFonts w:eastAsia="Times New Roman"/>
          <w:szCs w:val="24"/>
        </w:rPr>
        <w:t>economic interdependence</w:t>
      </w:r>
      <w:r w:rsidR="004737AE">
        <w:rPr>
          <w:rFonts w:eastAsia="Times New Roman"/>
          <w:szCs w:val="24"/>
        </w:rPr>
        <w:t xml:space="preserve"> in the region. However, </w:t>
      </w:r>
      <w:r w:rsidR="00DA27A1">
        <w:rPr>
          <w:rFonts w:eastAsia="Times New Roman"/>
          <w:szCs w:val="24"/>
        </w:rPr>
        <w:t xml:space="preserve">unlike most other RSDs, </w:t>
      </w:r>
      <w:r w:rsidR="00CB2BDF">
        <w:rPr>
          <w:rFonts w:eastAsia="Times New Roman"/>
          <w:szCs w:val="24"/>
        </w:rPr>
        <w:t>RSD 6 has a comparable amount of commuters who leave the RSD</w:t>
      </w:r>
      <w:r w:rsidR="00CF2D86">
        <w:rPr>
          <w:rFonts w:eastAsia="Times New Roman"/>
          <w:szCs w:val="24"/>
        </w:rPr>
        <w:t xml:space="preserve"> </w:t>
      </w:r>
      <w:r w:rsidR="00E601C4">
        <w:rPr>
          <w:rFonts w:eastAsia="Times New Roman"/>
          <w:szCs w:val="24"/>
        </w:rPr>
        <w:t xml:space="preserve">and remain within the RSD. </w:t>
      </w:r>
      <w:r w:rsidR="0024155A">
        <w:rPr>
          <w:rFonts w:eastAsia="Times New Roman"/>
          <w:szCs w:val="24"/>
        </w:rPr>
        <w:t xml:space="preserve">Though the narrow </w:t>
      </w:r>
      <w:r w:rsidR="008C669D">
        <w:rPr>
          <w:rFonts w:eastAsia="Times New Roman"/>
          <w:szCs w:val="24"/>
        </w:rPr>
        <w:t xml:space="preserve">plurality is not ideal, the </w:t>
      </w:r>
      <w:r w:rsidR="006F7B5F">
        <w:rPr>
          <w:rFonts w:eastAsia="Times New Roman"/>
          <w:szCs w:val="24"/>
        </w:rPr>
        <w:t xml:space="preserve">region would still </w:t>
      </w:r>
      <w:r w:rsidR="000B3544">
        <w:rPr>
          <w:rFonts w:eastAsia="Times New Roman"/>
          <w:szCs w:val="24"/>
        </w:rPr>
        <w:t>benefit</w:t>
      </w:r>
      <w:r w:rsidR="006F7B5F">
        <w:rPr>
          <w:rFonts w:eastAsia="Times New Roman"/>
          <w:szCs w:val="24"/>
        </w:rPr>
        <w:t xml:space="preserve"> from collective economic planning and service provision.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7D7C2DC5" w:rsidR="00226288" w:rsidRPr="00226288" w:rsidRDefault="00226288" w:rsidP="00226288">
      <w:pPr>
        <w:rPr>
          <w:rFonts w:eastAsia="Times New Roman"/>
          <w:szCs w:val="24"/>
        </w:rPr>
      </w:pPr>
      <w:r w:rsidRPr="00226288">
        <w:rPr>
          <w:rFonts w:eastAsia="Times New Roman"/>
          <w:szCs w:val="24"/>
        </w:rPr>
        <w:t xml:space="preserve">Overall, </w:t>
      </w:r>
      <w:r w:rsidR="00264855">
        <w:rPr>
          <w:rFonts w:eastAsia="Times New Roman"/>
          <w:szCs w:val="24"/>
        </w:rPr>
        <w:t>Entity 22</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FEEDD" w14:textId="77777777" w:rsidR="003038D9" w:rsidRDefault="003038D9" w:rsidP="00533253">
      <w:pPr>
        <w:spacing w:after="0" w:line="240" w:lineRule="auto"/>
      </w:pPr>
      <w:r>
        <w:separator/>
      </w:r>
    </w:p>
  </w:endnote>
  <w:endnote w:type="continuationSeparator" w:id="0">
    <w:p w14:paraId="1A6BBBA6" w14:textId="77777777" w:rsidR="003038D9" w:rsidRDefault="003038D9" w:rsidP="00533253">
      <w:pPr>
        <w:spacing w:after="0" w:line="240" w:lineRule="auto"/>
      </w:pPr>
      <w:r>
        <w:continuationSeparator/>
      </w:r>
    </w:p>
  </w:endnote>
  <w:endnote w:type="continuationNotice" w:id="1">
    <w:p w14:paraId="5B3362B4" w14:textId="77777777" w:rsidR="003038D9" w:rsidRDefault="003038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E922B" w14:textId="77777777" w:rsidR="003038D9" w:rsidRDefault="003038D9" w:rsidP="00533253">
      <w:pPr>
        <w:spacing w:after="0" w:line="240" w:lineRule="auto"/>
      </w:pPr>
      <w:r>
        <w:separator/>
      </w:r>
    </w:p>
  </w:footnote>
  <w:footnote w:type="continuationSeparator" w:id="0">
    <w:p w14:paraId="6FC52359" w14:textId="77777777" w:rsidR="003038D9" w:rsidRDefault="003038D9" w:rsidP="00533253">
      <w:pPr>
        <w:spacing w:after="0" w:line="240" w:lineRule="auto"/>
      </w:pPr>
      <w:r>
        <w:continuationSeparator/>
      </w:r>
    </w:p>
  </w:footnote>
  <w:footnote w:type="continuationNotice" w:id="1">
    <w:p w14:paraId="432ACB12" w14:textId="77777777" w:rsidR="003038D9" w:rsidRDefault="003038D9">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CB24A2" w:rsidRDefault="00226288" w:rsidP="249DB127">
      <w:pPr>
        <w:pStyle w:val="FootnoteText"/>
        <w:rPr>
          <w:rFonts w:ascii="Times New Roman" w:hAnsi="Times New Roman" w:cs="Times New Roman"/>
        </w:rPr>
      </w:pPr>
      <w:r w:rsidRPr="00CB24A2">
        <w:rPr>
          <w:rStyle w:val="FootnoteReference"/>
          <w:rFonts w:ascii="Times New Roman" w:hAnsi="Times New Roman" w:cs="Times New Roman"/>
        </w:rPr>
        <w:footnoteRef/>
      </w:r>
      <w:r w:rsidRPr="00CB24A2">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EC1"/>
    <w:rsid w:val="00015BE1"/>
    <w:rsid w:val="00022DE1"/>
    <w:rsid w:val="000238B0"/>
    <w:rsid w:val="00024CFD"/>
    <w:rsid w:val="000259AF"/>
    <w:rsid w:val="00025F29"/>
    <w:rsid w:val="00031BC5"/>
    <w:rsid w:val="000356BA"/>
    <w:rsid w:val="000361EA"/>
    <w:rsid w:val="000366A7"/>
    <w:rsid w:val="0004189C"/>
    <w:rsid w:val="00050419"/>
    <w:rsid w:val="000521C5"/>
    <w:rsid w:val="00054665"/>
    <w:rsid w:val="0005610E"/>
    <w:rsid w:val="00056919"/>
    <w:rsid w:val="00061B5D"/>
    <w:rsid w:val="00062C5C"/>
    <w:rsid w:val="0006709B"/>
    <w:rsid w:val="0007121F"/>
    <w:rsid w:val="000726CD"/>
    <w:rsid w:val="000778C0"/>
    <w:rsid w:val="00081AC4"/>
    <w:rsid w:val="000832B3"/>
    <w:rsid w:val="0008735F"/>
    <w:rsid w:val="00091112"/>
    <w:rsid w:val="000947F5"/>
    <w:rsid w:val="0009529B"/>
    <w:rsid w:val="000A372D"/>
    <w:rsid w:val="000A4D7C"/>
    <w:rsid w:val="000A6251"/>
    <w:rsid w:val="000B16FF"/>
    <w:rsid w:val="000B2384"/>
    <w:rsid w:val="000B3544"/>
    <w:rsid w:val="000B3B59"/>
    <w:rsid w:val="000B52E6"/>
    <w:rsid w:val="000B543A"/>
    <w:rsid w:val="000C0824"/>
    <w:rsid w:val="000C30F7"/>
    <w:rsid w:val="000D0C37"/>
    <w:rsid w:val="000D539E"/>
    <w:rsid w:val="000D7B94"/>
    <w:rsid w:val="000D7F02"/>
    <w:rsid w:val="000E0371"/>
    <w:rsid w:val="000F062C"/>
    <w:rsid w:val="000F56D9"/>
    <w:rsid w:val="000F5759"/>
    <w:rsid w:val="000F5A77"/>
    <w:rsid w:val="000F737F"/>
    <w:rsid w:val="000F7938"/>
    <w:rsid w:val="0010084F"/>
    <w:rsid w:val="001010F7"/>
    <w:rsid w:val="00101D9B"/>
    <w:rsid w:val="00102CB7"/>
    <w:rsid w:val="0010518B"/>
    <w:rsid w:val="0010753B"/>
    <w:rsid w:val="00111E79"/>
    <w:rsid w:val="001120C5"/>
    <w:rsid w:val="0012393A"/>
    <w:rsid w:val="001333B6"/>
    <w:rsid w:val="00134A12"/>
    <w:rsid w:val="00134CB1"/>
    <w:rsid w:val="0013553C"/>
    <w:rsid w:val="0013603A"/>
    <w:rsid w:val="00136F8C"/>
    <w:rsid w:val="00143193"/>
    <w:rsid w:val="001434FE"/>
    <w:rsid w:val="00144572"/>
    <w:rsid w:val="0015194D"/>
    <w:rsid w:val="00156AEF"/>
    <w:rsid w:val="001577D4"/>
    <w:rsid w:val="001618D5"/>
    <w:rsid w:val="00163993"/>
    <w:rsid w:val="001640B8"/>
    <w:rsid w:val="001713C5"/>
    <w:rsid w:val="00172214"/>
    <w:rsid w:val="00182F1D"/>
    <w:rsid w:val="00190B92"/>
    <w:rsid w:val="00191519"/>
    <w:rsid w:val="00194CEE"/>
    <w:rsid w:val="00195492"/>
    <w:rsid w:val="001961F9"/>
    <w:rsid w:val="001A0135"/>
    <w:rsid w:val="001A4616"/>
    <w:rsid w:val="001A4A6F"/>
    <w:rsid w:val="001A5EB0"/>
    <w:rsid w:val="001B0FF6"/>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5B6"/>
    <w:rsid w:val="0023283B"/>
    <w:rsid w:val="00234603"/>
    <w:rsid w:val="00234790"/>
    <w:rsid w:val="00236721"/>
    <w:rsid w:val="00240283"/>
    <w:rsid w:val="0024155A"/>
    <w:rsid w:val="00242CFD"/>
    <w:rsid w:val="00246CF0"/>
    <w:rsid w:val="00247692"/>
    <w:rsid w:val="00255EFF"/>
    <w:rsid w:val="0026319F"/>
    <w:rsid w:val="00263EA3"/>
    <w:rsid w:val="00264855"/>
    <w:rsid w:val="00265C6F"/>
    <w:rsid w:val="00267321"/>
    <w:rsid w:val="00267D9E"/>
    <w:rsid w:val="0027002D"/>
    <w:rsid w:val="0027093A"/>
    <w:rsid w:val="00273118"/>
    <w:rsid w:val="00275F78"/>
    <w:rsid w:val="002821E2"/>
    <w:rsid w:val="00282A5E"/>
    <w:rsid w:val="0028389A"/>
    <w:rsid w:val="00286D97"/>
    <w:rsid w:val="0028792A"/>
    <w:rsid w:val="00290DE5"/>
    <w:rsid w:val="00291052"/>
    <w:rsid w:val="00293FAE"/>
    <w:rsid w:val="00294052"/>
    <w:rsid w:val="00296040"/>
    <w:rsid w:val="00297AC6"/>
    <w:rsid w:val="002A5FBA"/>
    <w:rsid w:val="002A769B"/>
    <w:rsid w:val="002B165A"/>
    <w:rsid w:val="002B3451"/>
    <w:rsid w:val="002B6EB3"/>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38D9"/>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4283"/>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80BF5"/>
    <w:rsid w:val="00383314"/>
    <w:rsid w:val="0038365B"/>
    <w:rsid w:val="00385AF5"/>
    <w:rsid w:val="00386C93"/>
    <w:rsid w:val="00393154"/>
    <w:rsid w:val="003975CE"/>
    <w:rsid w:val="003A22CB"/>
    <w:rsid w:val="003A431A"/>
    <w:rsid w:val="003A4C02"/>
    <w:rsid w:val="003B108F"/>
    <w:rsid w:val="003B18DC"/>
    <w:rsid w:val="003B1FCD"/>
    <w:rsid w:val="003B2A08"/>
    <w:rsid w:val="003B3F3D"/>
    <w:rsid w:val="003B448F"/>
    <w:rsid w:val="003C2229"/>
    <w:rsid w:val="003C2DA4"/>
    <w:rsid w:val="003C3DFA"/>
    <w:rsid w:val="003C47BF"/>
    <w:rsid w:val="003D3F4B"/>
    <w:rsid w:val="003D7C66"/>
    <w:rsid w:val="003E1657"/>
    <w:rsid w:val="003E381F"/>
    <w:rsid w:val="003E41B8"/>
    <w:rsid w:val="003F2CF4"/>
    <w:rsid w:val="003F6376"/>
    <w:rsid w:val="003F78B1"/>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31726"/>
    <w:rsid w:val="00431ACD"/>
    <w:rsid w:val="00433159"/>
    <w:rsid w:val="00434F1E"/>
    <w:rsid w:val="00435355"/>
    <w:rsid w:val="004357A8"/>
    <w:rsid w:val="004357F8"/>
    <w:rsid w:val="004358AB"/>
    <w:rsid w:val="00435B15"/>
    <w:rsid w:val="00436353"/>
    <w:rsid w:val="004419FD"/>
    <w:rsid w:val="00441FE2"/>
    <w:rsid w:val="004443C2"/>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37AE"/>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618F"/>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778B"/>
    <w:rsid w:val="004E7E7A"/>
    <w:rsid w:val="004F155E"/>
    <w:rsid w:val="004F18A7"/>
    <w:rsid w:val="004F5875"/>
    <w:rsid w:val="004F61D7"/>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3B0B"/>
    <w:rsid w:val="00564E02"/>
    <w:rsid w:val="00566246"/>
    <w:rsid w:val="00567A28"/>
    <w:rsid w:val="00572114"/>
    <w:rsid w:val="005724E0"/>
    <w:rsid w:val="005728FA"/>
    <w:rsid w:val="005757F8"/>
    <w:rsid w:val="00576659"/>
    <w:rsid w:val="0058123A"/>
    <w:rsid w:val="0058183A"/>
    <w:rsid w:val="0058723C"/>
    <w:rsid w:val="00587D02"/>
    <w:rsid w:val="00587F97"/>
    <w:rsid w:val="00593BF0"/>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406FC"/>
    <w:rsid w:val="00641FCF"/>
    <w:rsid w:val="006437C2"/>
    <w:rsid w:val="0064551D"/>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622"/>
    <w:rsid w:val="00697AEA"/>
    <w:rsid w:val="006A07E3"/>
    <w:rsid w:val="006A08DF"/>
    <w:rsid w:val="006A611D"/>
    <w:rsid w:val="006A73FD"/>
    <w:rsid w:val="006C5C01"/>
    <w:rsid w:val="006C6FD9"/>
    <w:rsid w:val="006C719D"/>
    <w:rsid w:val="006D06E8"/>
    <w:rsid w:val="006D6A15"/>
    <w:rsid w:val="006E13F5"/>
    <w:rsid w:val="006E18B2"/>
    <w:rsid w:val="006E3460"/>
    <w:rsid w:val="006F1B6E"/>
    <w:rsid w:val="006F202E"/>
    <w:rsid w:val="006F51A6"/>
    <w:rsid w:val="006F5401"/>
    <w:rsid w:val="006F7B5F"/>
    <w:rsid w:val="006F7DA1"/>
    <w:rsid w:val="00705490"/>
    <w:rsid w:val="00706C79"/>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80158C"/>
    <w:rsid w:val="0080327D"/>
    <w:rsid w:val="00803E89"/>
    <w:rsid w:val="00812B97"/>
    <w:rsid w:val="0081353E"/>
    <w:rsid w:val="00813AB0"/>
    <w:rsid w:val="008142A0"/>
    <w:rsid w:val="00820EEB"/>
    <w:rsid w:val="00821215"/>
    <w:rsid w:val="0082340E"/>
    <w:rsid w:val="00826FF4"/>
    <w:rsid w:val="00834815"/>
    <w:rsid w:val="00835E77"/>
    <w:rsid w:val="00836415"/>
    <w:rsid w:val="00840403"/>
    <w:rsid w:val="00841162"/>
    <w:rsid w:val="00842249"/>
    <w:rsid w:val="0084239C"/>
    <w:rsid w:val="008434D1"/>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902E69"/>
    <w:rsid w:val="0090316A"/>
    <w:rsid w:val="0090440E"/>
    <w:rsid w:val="00906535"/>
    <w:rsid w:val="00907990"/>
    <w:rsid w:val="009106B0"/>
    <w:rsid w:val="00910DAD"/>
    <w:rsid w:val="009113A3"/>
    <w:rsid w:val="00914776"/>
    <w:rsid w:val="00915C3C"/>
    <w:rsid w:val="00916094"/>
    <w:rsid w:val="009256B7"/>
    <w:rsid w:val="00930141"/>
    <w:rsid w:val="00930CE8"/>
    <w:rsid w:val="00937062"/>
    <w:rsid w:val="0094032D"/>
    <w:rsid w:val="009407F0"/>
    <w:rsid w:val="00943184"/>
    <w:rsid w:val="00944409"/>
    <w:rsid w:val="0095089B"/>
    <w:rsid w:val="00952609"/>
    <w:rsid w:val="009534A1"/>
    <w:rsid w:val="00964426"/>
    <w:rsid w:val="00970D5D"/>
    <w:rsid w:val="00973562"/>
    <w:rsid w:val="00974610"/>
    <w:rsid w:val="00975BA7"/>
    <w:rsid w:val="009779AA"/>
    <w:rsid w:val="009812B3"/>
    <w:rsid w:val="009831D8"/>
    <w:rsid w:val="00984D6A"/>
    <w:rsid w:val="00986C0D"/>
    <w:rsid w:val="0099267E"/>
    <w:rsid w:val="00992946"/>
    <w:rsid w:val="00993AFC"/>
    <w:rsid w:val="00995841"/>
    <w:rsid w:val="009A2CEB"/>
    <w:rsid w:val="009A3B95"/>
    <w:rsid w:val="009A458A"/>
    <w:rsid w:val="009A54E1"/>
    <w:rsid w:val="009A54EE"/>
    <w:rsid w:val="009A608F"/>
    <w:rsid w:val="009A6210"/>
    <w:rsid w:val="009B0AB2"/>
    <w:rsid w:val="009B1567"/>
    <w:rsid w:val="009B2668"/>
    <w:rsid w:val="009B353D"/>
    <w:rsid w:val="009C136B"/>
    <w:rsid w:val="009C3F94"/>
    <w:rsid w:val="009C400F"/>
    <w:rsid w:val="009C4DFB"/>
    <w:rsid w:val="009C5A8A"/>
    <w:rsid w:val="009C610A"/>
    <w:rsid w:val="009C61E7"/>
    <w:rsid w:val="009C7EF9"/>
    <w:rsid w:val="009D16CF"/>
    <w:rsid w:val="009D2954"/>
    <w:rsid w:val="009D3B76"/>
    <w:rsid w:val="009D4657"/>
    <w:rsid w:val="009E008A"/>
    <w:rsid w:val="009E0814"/>
    <w:rsid w:val="009E1870"/>
    <w:rsid w:val="009E27E2"/>
    <w:rsid w:val="009E282B"/>
    <w:rsid w:val="009E34FE"/>
    <w:rsid w:val="009F25C7"/>
    <w:rsid w:val="009F56DC"/>
    <w:rsid w:val="00A00C83"/>
    <w:rsid w:val="00A02383"/>
    <w:rsid w:val="00A02439"/>
    <w:rsid w:val="00A03051"/>
    <w:rsid w:val="00A04221"/>
    <w:rsid w:val="00A20D5A"/>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35ED"/>
    <w:rsid w:val="00A90CFD"/>
    <w:rsid w:val="00A921C7"/>
    <w:rsid w:val="00A92519"/>
    <w:rsid w:val="00A93031"/>
    <w:rsid w:val="00AA1DDD"/>
    <w:rsid w:val="00AA2548"/>
    <w:rsid w:val="00AA2F30"/>
    <w:rsid w:val="00AA5A47"/>
    <w:rsid w:val="00AA710E"/>
    <w:rsid w:val="00AB56BE"/>
    <w:rsid w:val="00AB64B7"/>
    <w:rsid w:val="00AC2526"/>
    <w:rsid w:val="00AC341A"/>
    <w:rsid w:val="00AC5DB2"/>
    <w:rsid w:val="00AC6306"/>
    <w:rsid w:val="00AC6B10"/>
    <w:rsid w:val="00AD1552"/>
    <w:rsid w:val="00AD2B7E"/>
    <w:rsid w:val="00AD3489"/>
    <w:rsid w:val="00AD6300"/>
    <w:rsid w:val="00AE03E4"/>
    <w:rsid w:val="00AE0EE4"/>
    <w:rsid w:val="00AE1691"/>
    <w:rsid w:val="00AE3796"/>
    <w:rsid w:val="00AE3CB9"/>
    <w:rsid w:val="00AE4608"/>
    <w:rsid w:val="00AE4C15"/>
    <w:rsid w:val="00AE7BAB"/>
    <w:rsid w:val="00AF35D4"/>
    <w:rsid w:val="00AF3C9F"/>
    <w:rsid w:val="00AF4058"/>
    <w:rsid w:val="00AF6180"/>
    <w:rsid w:val="00B00DE4"/>
    <w:rsid w:val="00B04902"/>
    <w:rsid w:val="00B04E40"/>
    <w:rsid w:val="00B04E8A"/>
    <w:rsid w:val="00B06644"/>
    <w:rsid w:val="00B125F3"/>
    <w:rsid w:val="00B13F0C"/>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C2FFE"/>
    <w:rsid w:val="00BC5E82"/>
    <w:rsid w:val="00BD319A"/>
    <w:rsid w:val="00BE1438"/>
    <w:rsid w:val="00BE3C41"/>
    <w:rsid w:val="00BE42B4"/>
    <w:rsid w:val="00BE43FB"/>
    <w:rsid w:val="00BE604A"/>
    <w:rsid w:val="00BF687D"/>
    <w:rsid w:val="00BF7E3F"/>
    <w:rsid w:val="00C06DB3"/>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E11"/>
    <w:rsid w:val="00C401EC"/>
    <w:rsid w:val="00C434EE"/>
    <w:rsid w:val="00C50350"/>
    <w:rsid w:val="00C52AD1"/>
    <w:rsid w:val="00C52D0C"/>
    <w:rsid w:val="00C5322C"/>
    <w:rsid w:val="00C608C9"/>
    <w:rsid w:val="00C63002"/>
    <w:rsid w:val="00C65D8B"/>
    <w:rsid w:val="00C72451"/>
    <w:rsid w:val="00C76A53"/>
    <w:rsid w:val="00C77FBF"/>
    <w:rsid w:val="00C810CF"/>
    <w:rsid w:val="00C815EB"/>
    <w:rsid w:val="00C81905"/>
    <w:rsid w:val="00C81C1B"/>
    <w:rsid w:val="00C83C0F"/>
    <w:rsid w:val="00C8586B"/>
    <w:rsid w:val="00C87391"/>
    <w:rsid w:val="00C87E27"/>
    <w:rsid w:val="00C942CD"/>
    <w:rsid w:val="00C97D20"/>
    <w:rsid w:val="00CA3C0E"/>
    <w:rsid w:val="00CA5586"/>
    <w:rsid w:val="00CA7412"/>
    <w:rsid w:val="00CA77DD"/>
    <w:rsid w:val="00CB24A2"/>
    <w:rsid w:val="00CB2BDF"/>
    <w:rsid w:val="00CB38DB"/>
    <w:rsid w:val="00CB62EA"/>
    <w:rsid w:val="00CC0635"/>
    <w:rsid w:val="00CC250F"/>
    <w:rsid w:val="00CC3095"/>
    <w:rsid w:val="00CC4CA8"/>
    <w:rsid w:val="00CD005E"/>
    <w:rsid w:val="00CD12CE"/>
    <w:rsid w:val="00CD12F5"/>
    <w:rsid w:val="00CD569B"/>
    <w:rsid w:val="00CD7718"/>
    <w:rsid w:val="00CE2F66"/>
    <w:rsid w:val="00CE7A05"/>
    <w:rsid w:val="00CF02AF"/>
    <w:rsid w:val="00CF1F1C"/>
    <w:rsid w:val="00CF2D86"/>
    <w:rsid w:val="00CF4B9F"/>
    <w:rsid w:val="00CF6289"/>
    <w:rsid w:val="00D02067"/>
    <w:rsid w:val="00D03E8D"/>
    <w:rsid w:val="00D05172"/>
    <w:rsid w:val="00D07BC3"/>
    <w:rsid w:val="00D10B16"/>
    <w:rsid w:val="00D117FF"/>
    <w:rsid w:val="00D11F53"/>
    <w:rsid w:val="00D1236C"/>
    <w:rsid w:val="00D17292"/>
    <w:rsid w:val="00D1766D"/>
    <w:rsid w:val="00D21261"/>
    <w:rsid w:val="00D2549C"/>
    <w:rsid w:val="00D26816"/>
    <w:rsid w:val="00D27E29"/>
    <w:rsid w:val="00D27FE3"/>
    <w:rsid w:val="00D30B7F"/>
    <w:rsid w:val="00D31C6B"/>
    <w:rsid w:val="00D3691A"/>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27A1"/>
    <w:rsid w:val="00DA40B2"/>
    <w:rsid w:val="00DA436C"/>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1004A"/>
    <w:rsid w:val="00E112D9"/>
    <w:rsid w:val="00E16335"/>
    <w:rsid w:val="00E163CC"/>
    <w:rsid w:val="00E16E9D"/>
    <w:rsid w:val="00E308F4"/>
    <w:rsid w:val="00E30DC8"/>
    <w:rsid w:val="00E316AF"/>
    <w:rsid w:val="00E319DE"/>
    <w:rsid w:val="00E33A22"/>
    <w:rsid w:val="00E41114"/>
    <w:rsid w:val="00E41968"/>
    <w:rsid w:val="00E44DC0"/>
    <w:rsid w:val="00E4601E"/>
    <w:rsid w:val="00E47486"/>
    <w:rsid w:val="00E550FC"/>
    <w:rsid w:val="00E55335"/>
    <w:rsid w:val="00E55D8B"/>
    <w:rsid w:val="00E5681A"/>
    <w:rsid w:val="00E56FB7"/>
    <w:rsid w:val="00E601C4"/>
    <w:rsid w:val="00E6046B"/>
    <w:rsid w:val="00E61528"/>
    <w:rsid w:val="00E6260F"/>
    <w:rsid w:val="00E62E97"/>
    <w:rsid w:val="00E64543"/>
    <w:rsid w:val="00E66DA0"/>
    <w:rsid w:val="00E736B0"/>
    <w:rsid w:val="00E74444"/>
    <w:rsid w:val="00E81435"/>
    <w:rsid w:val="00E8279A"/>
    <w:rsid w:val="00E86C0E"/>
    <w:rsid w:val="00E90562"/>
    <w:rsid w:val="00E9137E"/>
    <w:rsid w:val="00E9381F"/>
    <w:rsid w:val="00E95127"/>
    <w:rsid w:val="00EA274B"/>
    <w:rsid w:val="00EA31CB"/>
    <w:rsid w:val="00EA5317"/>
    <w:rsid w:val="00EA79AF"/>
    <w:rsid w:val="00EA7CDE"/>
    <w:rsid w:val="00EB0362"/>
    <w:rsid w:val="00EB0FD9"/>
    <w:rsid w:val="00EB32EB"/>
    <w:rsid w:val="00EC02C5"/>
    <w:rsid w:val="00EC452B"/>
    <w:rsid w:val="00EC71A3"/>
    <w:rsid w:val="00ED38BA"/>
    <w:rsid w:val="00ED6F3F"/>
    <w:rsid w:val="00ED702F"/>
    <w:rsid w:val="00EE1061"/>
    <w:rsid w:val="00EE27EB"/>
    <w:rsid w:val="00EE766E"/>
    <w:rsid w:val="00EE797B"/>
    <w:rsid w:val="00EF051C"/>
    <w:rsid w:val="00F0075E"/>
    <w:rsid w:val="00F04726"/>
    <w:rsid w:val="00F06AB9"/>
    <w:rsid w:val="00F0787F"/>
    <w:rsid w:val="00F11EA0"/>
    <w:rsid w:val="00F133CF"/>
    <w:rsid w:val="00F14B01"/>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3A14"/>
    <w:rsid w:val="00F44896"/>
    <w:rsid w:val="00F449BF"/>
    <w:rsid w:val="00F50D4B"/>
    <w:rsid w:val="00F52FA7"/>
    <w:rsid w:val="00F534B9"/>
    <w:rsid w:val="00F567EC"/>
    <w:rsid w:val="00F601D1"/>
    <w:rsid w:val="00F622A7"/>
    <w:rsid w:val="00F63306"/>
    <w:rsid w:val="00F64E85"/>
    <w:rsid w:val="00F6557B"/>
    <w:rsid w:val="00F66774"/>
    <w:rsid w:val="00F70AB8"/>
    <w:rsid w:val="00F7126C"/>
    <w:rsid w:val="00F738DC"/>
    <w:rsid w:val="00F7536C"/>
    <w:rsid w:val="00F76586"/>
    <w:rsid w:val="00F76D91"/>
    <w:rsid w:val="00F77D1F"/>
    <w:rsid w:val="00F85DD8"/>
    <w:rsid w:val="00F85DFD"/>
    <w:rsid w:val="00F91D75"/>
    <w:rsid w:val="00FA21A7"/>
    <w:rsid w:val="00FA2A26"/>
    <w:rsid w:val="00FA4291"/>
    <w:rsid w:val="00FA4ADF"/>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81270">
      <w:bodyDiv w:val="1"/>
      <w:marLeft w:val="0"/>
      <w:marRight w:val="0"/>
      <w:marTop w:val="0"/>
      <w:marBottom w:val="0"/>
      <w:divBdr>
        <w:top w:val="none" w:sz="0" w:space="0" w:color="auto"/>
        <w:left w:val="none" w:sz="0" w:space="0" w:color="auto"/>
        <w:bottom w:val="none" w:sz="0" w:space="0" w:color="auto"/>
        <w:right w:val="none" w:sz="0" w:space="0" w:color="auto"/>
      </w:divBdr>
    </w:div>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22333256">
      <w:bodyDiv w:val="1"/>
      <w:marLeft w:val="0"/>
      <w:marRight w:val="0"/>
      <w:marTop w:val="0"/>
      <w:marBottom w:val="0"/>
      <w:divBdr>
        <w:top w:val="none" w:sz="0" w:space="0" w:color="auto"/>
        <w:left w:val="none" w:sz="0" w:space="0" w:color="auto"/>
        <w:bottom w:val="none" w:sz="0" w:space="0" w:color="auto"/>
        <w:right w:val="none" w:sz="0" w:space="0" w:color="auto"/>
      </w:divBdr>
    </w:div>
    <w:div w:id="1439325995">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4007872">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AE114-9C59-42B0-9CCC-C12F92F47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56</cp:revision>
  <dcterms:created xsi:type="dcterms:W3CDTF">2020-04-21T13:59:00Z</dcterms:created>
  <dcterms:modified xsi:type="dcterms:W3CDTF">2020-05-29T18:53:00Z</dcterms:modified>
</cp:coreProperties>
</file>