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24B766F0" w:rsidR="00226288" w:rsidRPr="00226288" w:rsidRDefault="00226288" w:rsidP="00462652">
      <w:pPr>
        <w:spacing w:line="480" w:lineRule="auto"/>
        <w:contextualSpacing/>
        <w:jc w:val="both"/>
      </w:pPr>
      <w:r w:rsidRPr="00226288">
        <w:t xml:space="preserve">An </w:t>
      </w:r>
      <w:r w:rsidR="00081AC4">
        <w:t>Image</w:t>
      </w:r>
      <w:r w:rsidRPr="00226288">
        <w:t xml:space="preserve"> of the Future – </w:t>
      </w:r>
      <w:r w:rsidR="009F5BA0">
        <w:t>Entity 25</w:t>
      </w:r>
      <w:r w:rsidRPr="00226288">
        <w:t xml:space="preserve"> and Regional Service District </w:t>
      </w:r>
      <w:r w:rsidR="00264855">
        <w:t>6</w:t>
      </w:r>
    </w:p>
    <w:p w14:paraId="70CB123F" w14:textId="1C09BA53" w:rsidR="00226288" w:rsidRPr="00226288" w:rsidRDefault="00377EAB" w:rsidP="003C35B0">
      <w:pPr>
        <w:jc w:val="both"/>
        <w:rPr>
          <w:rFonts w:eastAsia="Times New Roman"/>
        </w:rPr>
      </w:pPr>
      <w:r>
        <w:rPr>
          <w:noProof/>
          <w:szCs w:val="24"/>
        </w:rPr>
        <w:drawing>
          <wp:anchor distT="0" distB="0" distL="114300" distR="114300" simplePos="0" relativeHeight="251655168" behindDoc="0" locked="0" layoutInCell="1" allowOverlap="1" wp14:anchorId="4E73665D" wp14:editId="5921B55E">
            <wp:simplePos x="0" y="0"/>
            <wp:positionH relativeFrom="column">
              <wp:posOffset>2862629</wp:posOffset>
            </wp:positionH>
            <wp:positionV relativeFrom="paragraph">
              <wp:posOffset>1219835</wp:posOffset>
            </wp:positionV>
            <wp:extent cx="3080385" cy="2384425"/>
            <wp:effectExtent l="0" t="0" r="5715" b="0"/>
            <wp:wrapThrough wrapText="bothSides">
              <wp:wrapPolygon edited="0">
                <wp:start x="267" y="0"/>
                <wp:lineTo x="0" y="518"/>
                <wp:lineTo x="0" y="20191"/>
                <wp:lineTo x="134" y="21226"/>
                <wp:lineTo x="267" y="21399"/>
                <wp:lineTo x="21239" y="21399"/>
                <wp:lineTo x="21373" y="21226"/>
                <wp:lineTo x="21506" y="20191"/>
                <wp:lineTo x="21506" y="518"/>
                <wp:lineTo x="21239" y="0"/>
                <wp:lineTo x="26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5517" t="67544" r="1656" b="1941"/>
                    <a:stretch/>
                  </pic:blipFill>
                  <pic:spPr bwMode="auto">
                    <a:xfrm>
                      <a:off x="0" y="0"/>
                      <a:ext cx="3080385" cy="2384425"/>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rPr>
        <w:t xml:space="preserve">To illustrate the benefits of this new framework, take the example of </w:t>
      </w:r>
      <w:r w:rsidR="009F5BA0">
        <w:rPr>
          <w:rFonts w:eastAsia="Times New Roman"/>
        </w:rPr>
        <w:t>Entity 25</w:t>
      </w:r>
      <w:r w:rsidR="006736F1">
        <w:rPr>
          <w:rFonts w:eastAsia="Times New Roman"/>
        </w:rPr>
        <w:t>.</w:t>
      </w:r>
      <w:r w:rsidR="00226288" w:rsidRPr="00226288">
        <w:rPr>
          <w:rFonts w:eastAsia="Times New Roman"/>
        </w:rPr>
        <w:t xml:space="preserve"> For the duration of this discussion the municipality shall be referred to as </w:t>
      </w:r>
      <w:r w:rsidR="009F5BA0">
        <w:rPr>
          <w:rFonts w:eastAsia="Times New Roman"/>
        </w:rPr>
        <w:t>Entity 25</w:t>
      </w:r>
      <w:r w:rsidR="00226288" w:rsidRPr="00226288">
        <w:rPr>
          <w:rFonts w:eastAsia="Times New Roman"/>
        </w:rPr>
        <w:t xml:space="preserve">, as while the municipality could conceivably adopt </w:t>
      </w:r>
      <w:r w:rsidR="00AB3720">
        <w:rPr>
          <w:rFonts w:eastAsia="Times New Roman"/>
        </w:rPr>
        <w:t>Saint-Paul, Saint-Antoine,</w:t>
      </w:r>
      <w:r w:rsidR="00EB61D8">
        <w:rPr>
          <w:rFonts w:eastAsia="Times New Roman"/>
        </w:rPr>
        <w:t xml:space="preserve"> </w:t>
      </w:r>
      <w:r w:rsidR="00EC452B">
        <w:rPr>
          <w:rFonts w:eastAsia="Times New Roman"/>
        </w:rPr>
        <w:t>or any other name</w:t>
      </w:r>
      <w:r w:rsidR="00226288" w:rsidRPr="00226288">
        <w:rPr>
          <w:rFonts w:eastAsia="Times New Roman"/>
        </w:rPr>
        <w:t xml:space="preserve">, the naming of the 53 municipal entities remains a task for the citizens of each </w:t>
      </w:r>
      <w:r w:rsidR="00EC452B">
        <w:rPr>
          <w:rFonts w:eastAsia="Times New Roman"/>
        </w:rPr>
        <w:t xml:space="preserve">proposed </w:t>
      </w:r>
      <w:r w:rsidR="00226288" w:rsidRPr="00226288">
        <w:rPr>
          <w:rFonts w:eastAsia="Times New Roman"/>
        </w:rPr>
        <w:t>entity.</w:t>
      </w:r>
      <w:r w:rsidR="00226288" w:rsidRPr="00226288">
        <w:rPr>
          <w:rFonts w:eastAsia="Times New Roman"/>
          <w:vertAlign w:val="superscript"/>
        </w:rPr>
        <w:footnoteReference w:id="2"/>
      </w:r>
      <w:r w:rsidR="00226288"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5A196A24" w:rsidR="00226288" w:rsidRPr="00226288" w:rsidRDefault="00226288" w:rsidP="003C35B0">
      <w:pPr>
        <w:jc w:val="both"/>
        <w:rPr>
          <w:b/>
          <w:bCs/>
        </w:rPr>
      </w:pPr>
      <w:r w:rsidRPr="00226288">
        <w:rPr>
          <w:rFonts w:eastAsia="Times New Roman"/>
          <w:b/>
          <w:bCs/>
        </w:rPr>
        <w:t>Geographic Boundaries</w:t>
      </w:r>
    </w:p>
    <w:p w14:paraId="77D2CE88" w14:textId="0E1BCB63" w:rsidR="007C1C58" w:rsidRDefault="009F5BA0" w:rsidP="003C35B0">
      <w:pPr>
        <w:jc w:val="both"/>
        <w:rPr>
          <w:szCs w:val="24"/>
        </w:rPr>
      </w:pPr>
      <w:r>
        <w:rPr>
          <w:szCs w:val="24"/>
        </w:rPr>
        <w:t>Entity 25</w:t>
      </w:r>
      <w:r w:rsidR="00D02067">
        <w:rPr>
          <w:szCs w:val="24"/>
        </w:rPr>
        <w:t xml:space="preserve"> would be comprised of </w:t>
      </w:r>
      <w:r w:rsidR="0076188A">
        <w:rPr>
          <w:szCs w:val="24"/>
        </w:rPr>
        <w:t>the</w:t>
      </w:r>
      <w:r w:rsidR="00532617">
        <w:rPr>
          <w:szCs w:val="24"/>
        </w:rPr>
        <w:t xml:space="preserve"> Rural Community of </w:t>
      </w:r>
      <w:proofErr w:type="spellStart"/>
      <w:r w:rsidR="00532617">
        <w:rPr>
          <w:szCs w:val="24"/>
        </w:rPr>
        <w:t>Cocagne</w:t>
      </w:r>
      <w:proofErr w:type="spellEnd"/>
      <w:r w:rsidR="00532617">
        <w:rPr>
          <w:szCs w:val="24"/>
        </w:rPr>
        <w:t xml:space="preserve">, </w:t>
      </w:r>
      <w:r w:rsidR="00CA333E">
        <w:rPr>
          <w:szCs w:val="24"/>
        </w:rPr>
        <w:t>the Village of</w:t>
      </w:r>
      <w:r w:rsidR="007927BA">
        <w:rPr>
          <w:szCs w:val="24"/>
        </w:rPr>
        <w:t xml:space="preserve"> Saint-Ant</w:t>
      </w:r>
      <w:r w:rsidR="004B6A9C">
        <w:rPr>
          <w:szCs w:val="24"/>
        </w:rPr>
        <w:t>oine,</w:t>
      </w:r>
      <w:r w:rsidR="000D0004">
        <w:rPr>
          <w:szCs w:val="24"/>
        </w:rPr>
        <w:t xml:space="preserve"> the </w:t>
      </w:r>
      <w:r w:rsidR="004B6A9C">
        <w:rPr>
          <w:szCs w:val="24"/>
        </w:rPr>
        <w:t>Dundas, Grand Saint-Antoine, and Saint-Paul</w:t>
      </w:r>
      <w:r w:rsidR="000A4303">
        <w:rPr>
          <w:szCs w:val="24"/>
        </w:rPr>
        <w:t xml:space="preserve"> </w:t>
      </w:r>
      <w:r w:rsidR="000D0004">
        <w:rPr>
          <w:szCs w:val="24"/>
        </w:rPr>
        <w:t>L</w:t>
      </w:r>
      <w:r w:rsidR="00A25B67">
        <w:rPr>
          <w:szCs w:val="24"/>
        </w:rPr>
        <w:t>SDs</w:t>
      </w:r>
      <w:r w:rsidR="00CB0BF5">
        <w:rPr>
          <w:szCs w:val="24"/>
        </w:rPr>
        <w:t>, and a portion of the Moncton LSD</w:t>
      </w:r>
      <w:r w:rsidR="0058183A">
        <w:rPr>
          <w:szCs w:val="24"/>
        </w:rPr>
        <w:t>.</w:t>
      </w:r>
      <w:r w:rsidR="00D45B8F">
        <w:rPr>
          <w:szCs w:val="24"/>
        </w:rPr>
        <w:t xml:space="preserve"> The proposed entity would lie on the coast of the Northumberland Straight</w:t>
      </w:r>
      <w:r w:rsidR="00635CB1">
        <w:rPr>
          <w:szCs w:val="24"/>
        </w:rPr>
        <w:t xml:space="preserve">, with </w:t>
      </w:r>
      <w:r w:rsidR="001B197B">
        <w:rPr>
          <w:szCs w:val="24"/>
        </w:rPr>
        <w:t xml:space="preserve">most of the entity’s Crown Lands </w:t>
      </w:r>
      <w:r w:rsidR="00037D03">
        <w:rPr>
          <w:szCs w:val="24"/>
        </w:rPr>
        <w:t>concentrated</w:t>
      </w:r>
      <w:r w:rsidR="00DC1911">
        <w:rPr>
          <w:szCs w:val="24"/>
        </w:rPr>
        <w:t xml:space="preserve"> in the </w:t>
      </w:r>
      <w:r w:rsidR="00E02E16">
        <w:rPr>
          <w:szCs w:val="24"/>
        </w:rPr>
        <w:t>Saint</w:t>
      </w:r>
      <w:r w:rsidR="00284076">
        <w:rPr>
          <w:szCs w:val="24"/>
        </w:rPr>
        <w:t>-Paul and Moncton</w:t>
      </w:r>
      <w:r w:rsidR="00DC1911">
        <w:rPr>
          <w:szCs w:val="24"/>
        </w:rPr>
        <w:t xml:space="preserve"> LSD. </w:t>
      </w:r>
    </w:p>
    <w:p w14:paraId="4750B350" w14:textId="2F96D47E" w:rsidR="00226288" w:rsidRPr="00226288" w:rsidRDefault="00226288" w:rsidP="003C35B0">
      <w:pPr>
        <w:jc w:val="both"/>
        <w:rPr>
          <w:rFonts w:eastAsia="Times New Roman"/>
          <w:b/>
          <w:bCs/>
        </w:rPr>
      </w:pPr>
      <w:r w:rsidRPr="00226288">
        <w:rPr>
          <w:rFonts w:eastAsia="Times New Roman"/>
          <w:b/>
          <w:bCs/>
        </w:rPr>
        <w:t>Demographic Base</w:t>
      </w:r>
    </w:p>
    <w:p w14:paraId="7D8A8940" w14:textId="58318666" w:rsidR="00BA73EA" w:rsidRDefault="00226288" w:rsidP="003C35B0">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147376">
        <w:rPr>
          <w:rFonts w:eastAsia="Times New Roman"/>
          <w:color w:val="000000" w:themeColor="text1"/>
          <w:szCs w:val="24"/>
        </w:rPr>
        <w:t>4500</w:t>
      </w:r>
      <w:r w:rsidR="003002B5">
        <w:rPr>
          <w:szCs w:val="24"/>
        </w:rPr>
        <w:t xml:space="preserve"> p</w:t>
      </w:r>
      <w:r w:rsidR="006437C2">
        <w:rPr>
          <w:szCs w:val="24"/>
        </w:rPr>
        <w:t>eopl</w:t>
      </w:r>
      <w:r w:rsidR="00DF2084">
        <w:rPr>
          <w:szCs w:val="24"/>
        </w:rPr>
        <w:t>e</w:t>
      </w:r>
      <w:r w:rsidR="00FD101A">
        <w:rPr>
          <w:szCs w:val="24"/>
        </w:rPr>
        <w:t xml:space="preserve">, down from </w:t>
      </w:r>
      <w:r w:rsidR="00F16AC2">
        <w:rPr>
          <w:szCs w:val="24"/>
        </w:rPr>
        <w:t>4800</w:t>
      </w:r>
      <w:r w:rsidR="00581F15">
        <w:rPr>
          <w:szCs w:val="24"/>
        </w:rPr>
        <w:t xml:space="preserve"> in 2011</w:t>
      </w:r>
      <w:r w:rsidR="00006447">
        <w:rPr>
          <w:szCs w:val="24"/>
        </w:rPr>
        <w:t>.</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9F5BA0">
        <w:rPr>
          <w:rFonts w:eastAsia="Times New Roman"/>
          <w:color w:val="000000" w:themeColor="text1"/>
          <w:szCs w:val="24"/>
        </w:rPr>
        <w:t>Entity 25</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BA73EA" w:rsidRPr="00226288">
        <w:rPr>
          <w:rFonts w:eastAsia="Times New Roman"/>
          <w:color w:val="000000" w:themeColor="text1"/>
          <w:szCs w:val="24"/>
        </w:rPr>
        <w:t xml:space="preserve">be required to operate bilingually because </w:t>
      </w:r>
      <w:r w:rsidR="00D77543">
        <w:rPr>
          <w:rFonts w:eastAsia="Times New Roman"/>
          <w:color w:val="000000" w:themeColor="text1"/>
          <w:szCs w:val="24"/>
        </w:rPr>
        <w:t>the pop</w:t>
      </w:r>
      <w:r w:rsidR="00F77986">
        <w:rPr>
          <w:rFonts w:eastAsia="Times New Roman"/>
          <w:color w:val="000000" w:themeColor="text1"/>
          <w:szCs w:val="24"/>
        </w:rPr>
        <w:t>ulation is</w:t>
      </w:r>
      <w:r w:rsidR="00181A0E">
        <w:rPr>
          <w:rFonts w:eastAsia="Times New Roman"/>
          <w:color w:val="000000" w:themeColor="text1"/>
          <w:szCs w:val="24"/>
        </w:rPr>
        <w:t xml:space="preserve"> over 20</w:t>
      </w:r>
      <w:r w:rsidR="003E31DA">
        <w:rPr>
          <w:rFonts w:eastAsia="Times New Roman"/>
          <w:color w:val="000000" w:themeColor="text1"/>
          <w:szCs w:val="24"/>
        </w:rPr>
        <w:t xml:space="preserve">% </w:t>
      </w:r>
      <w:r w:rsidR="00181A0E">
        <w:rPr>
          <w:rFonts w:eastAsia="Times New Roman"/>
          <w:color w:val="000000" w:themeColor="text1"/>
          <w:szCs w:val="24"/>
        </w:rPr>
        <w:t>A</w:t>
      </w:r>
      <w:r w:rsidR="003E31DA">
        <w:rPr>
          <w:rFonts w:eastAsia="Times New Roman"/>
          <w:color w:val="000000" w:themeColor="text1"/>
          <w:szCs w:val="24"/>
        </w:rPr>
        <w:t>n</w:t>
      </w:r>
      <w:r w:rsidR="008367A9">
        <w:rPr>
          <w:rFonts w:eastAsia="Times New Roman"/>
          <w:color w:val="000000" w:themeColor="text1"/>
          <w:szCs w:val="24"/>
        </w:rPr>
        <w:t>glo</w:t>
      </w:r>
      <w:r w:rsidR="003E31DA">
        <w:rPr>
          <w:rFonts w:eastAsia="Times New Roman"/>
          <w:color w:val="000000" w:themeColor="text1"/>
          <w:szCs w:val="24"/>
        </w:rPr>
        <w:t>phones</w:t>
      </w:r>
      <w:r w:rsidR="00F77986">
        <w:rPr>
          <w:rFonts w:eastAsia="Times New Roman"/>
          <w:color w:val="000000" w:themeColor="text1"/>
          <w:szCs w:val="24"/>
        </w:rPr>
        <w:t xml:space="preserve">. </w:t>
      </w:r>
    </w:p>
    <w:tbl>
      <w:tblPr>
        <w:tblpPr w:leftFromText="180" w:rightFromText="180" w:vertAnchor="text" w:horzAnchor="margin" w:tblpY="1897"/>
        <w:tblOverlap w:val="never"/>
        <w:tblW w:w="5796" w:type="dxa"/>
        <w:tblLook w:val="04A0" w:firstRow="1" w:lastRow="0" w:firstColumn="1" w:lastColumn="0" w:noHBand="0" w:noVBand="1"/>
      </w:tblPr>
      <w:tblGrid>
        <w:gridCol w:w="2505"/>
        <w:gridCol w:w="1647"/>
        <w:gridCol w:w="1644"/>
      </w:tblGrid>
      <w:tr w:rsidR="00052990" w:rsidRPr="00052990" w14:paraId="01B558B2" w14:textId="77777777" w:rsidTr="00052990">
        <w:trPr>
          <w:trHeight w:val="310"/>
        </w:trPr>
        <w:tc>
          <w:tcPr>
            <w:tcW w:w="5796" w:type="dxa"/>
            <w:gridSpan w:val="3"/>
            <w:tcBorders>
              <w:top w:val="nil"/>
              <w:left w:val="nil"/>
              <w:bottom w:val="single" w:sz="8" w:space="0" w:color="BFBFBF"/>
              <w:right w:val="nil"/>
            </w:tcBorders>
            <w:shd w:val="clear" w:color="auto" w:fill="auto"/>
            <w:noWrap/>
            <w:vAlign w:val="center"/>
            <w:hideMark/>
          </w:tcPr>
          <w:p w14:paraId="07AFE373" w14:textId="77777777" w:rsidR="00052990" w:rsidRPr="00052990" w:rsidRDefault="00052990" w:rsidP="003C35B0">
            <w:pPr>
              <w:spacing w:after="0" w:line="240" w:lineRule="auto"/>
              <w:jc w:val="both"/>
              <w:rPr>
                <w:rFonts w:eastAsia="Times New Roman"/>
                <w:b/>
                <w:bCs/>
                <w:color w:val="000000"/>
                <w:szCs w:val="24"/>
                <w:lang w:val="en-CA" w:eastAsia="en-CA"/>
              </w:rPr>
            </w:pPr>
            <w:r w:rsidRPr="00052990">
              <w:rPr>
                <w:rFonts w:eastAsia="Times New Roman"/>
                <w:b/>
                <w:bCs/>
                <w:color w:val="000000"/>
                <w:szCs w:val="24"/>
                <w:lang w:val="en-CA" w:eastAsia="en-CA"/>
              </w:rPr>
              <w:t>Voter Turnout by Existing Municipality</w:t>
            </w:r>
          </w:p>
        </w:tc>
      </w:tr>
      <w:tr w:rsidR="00052990" w:rsidRPr="00052990" w14:paraId="55EB2346" w14:textId="77777777" w:rsidTr="00052990">
        <w:trPr>
          <w:trHeight w:val="970"/>
        </w:trPr>
        <w:tc>
          <w:tcPr>
            <w:tcW w:w="2505" w:type="dxa"/>
            <w:tcBorders>
              <w:top w:val="nil"/>
              <w:left w:val="nil"/>
              <w:bottom w:val="nil"/>
              <w:right w:val="nil"/>
            </w:tcBorders>
            <w:shd w:val="clear" w:color="4472C4" w:fill="4472C4"/>
            <w:vAlign w:val="center"/>
            <w:hideMark/>
          </w:tcPr>
          <w:p w14:paraId="251854B2" w14:textId="77777777" w:rsidR="00052990" w:rsidRPr="00052990" w:rsidRDefault="00052990" w:rsidP="003C35B0">
            <w:pPr>
              <w:spacing w:after="0" w:line="240" w:lineRule="auto"/>
              <w:jc w:val="both"/>
              <w:rPr>
                <w:rFonts w:eastAsia="Times New Roman"/>
                <w:b/>
                <w:bCs/>
                <w:color w:val="000000"/>
                <w:szCs w:val="24"/>
                <w:lang w:val="en-CA" w:eastAsia="en-CA"/>
              </w:rPr>
            </w:pPr>
            <w:r w:rsidRPr="00052990">
              <w:rPr>
                <w:rFonts w:eastAsia="Times New Roman"/>
                <w:b/>
                <w:bCs/>
                <w:color w:val="000000"/>
                <w:szCs w:val="24"/>
                <w:lang w:val="en-CA" w:eastAsia="en-CA"/>
              </w:rPr>
              <w:t>Municipality</w:t>
            </w:r>
          </w:p>
        </w:tc>
        <w:tc>
          <w:tcPr>
            <w:tcW w:w="1647" w:type="dxa"/>
            <w:tcBorders>
              <w:top w:val="nil"/>
              <w:left w:val="single" w:sz="4" w:space="0" w:color="FFFFFF"/>
              <w:bottom w:val="nil"/>
              <w:right w:val="nil"/>
            </w:tcBorders>
            <w:shd w:val="clear" w:color="4472C4" w:fill="4472C4"/>
            <w:hideMark/>
          </w:tcPr>
          <w:p w14:paraId="3175F4B4" w14:textId="77777777" w:rsidR="00052990" w:rsidRPr="00052990" w:rsidRDefault="00052990" w:rsidP="003C35B0">
            <w:pPr>
              <w:spacing w:after="0" w:line="240" w:lineRule="auto"/>
              <w:jc w:val="both"/>
              <w:rPr>
                <w:rFonts w:eastAsia="Times New Roman"/>
                <w:b/>
                <w:bCs/>
                <w:color w:val="000000"/>
                <w:szCs w:val="24"/>
                <w:lang w:val="en-CA" w:eastAsia="en-CA"/>
              </w:rPr>
            </w:pPr>
            <w:r w:rsidRPr="00052990">
              <w:rPr>
                <w:rFonts w:eastAsia="Times New Roman"/>
                <w:b/>
                <w:bCs/>
                <w:color w:val="000000"/>
                <w:szCs w:val="24"/>
                <w:lang w:val="en-CA" w:eastAsia="en-CA"/>
              </w:rPr>
              <w:t>Voter Participation 2012</w:t>
            </w:r>
            <w:r w:rsidRPr="00052990">
              <w:rPr>
                <w:rFonts w:eastAsia="Times New Roman"/>
                <w:b/>
                <w:bCs/>
                <w:color w:val="000000"/>
                <w:szCs w:val="24"/>
                <w:vertAlign w:val="superscript"/>
                <w:lang w:val="en-CA" w:eastAsia="en-CA"/>
              </w:rPr>
              <w:t>1</w:t>
            </w:r>
          </w:p>
        </w:tc>
        <w:tc>
          <w:tcPr>
            <w:tcW w:w="1644" w:type="dxa"/>
            <w:tcBorders>
              <w:top w:val="nil"/>
              <w:left w:val="single" w:sz="4" w:space="0" w:color="FFFFFF"/>
              <w:bottom w:val="nil"/>
              <w:right w:val="nil"/>
            </w:tcBorders>
            <w:shd w:val="clear" w:color="4472C4" w:fill="4472C4"/>
            <w:hideMark/>
          </w:tcPr>
          <w:p w14:paraId="1539652D" w14:textId="77777777" w:rsidR="00052990" w:rsidRPr="00052990" w:rsidRDefault="00052990" w:rsidP="003C35B0">
            <w:pPr>
              <w:spacing w:after="0" w:line="240" w:lineRule="auto"/>
              <w:jc w:val="both"/>
              <w:rPr>
                <w:rFonts w:eastAsia="Times New Roman"/>
                <w:b/>
                <w:bCs/>
                <w:color w:val="000000"/>
                <w:szCs w:val="24"/>
                <w:lang w:val="en-CA" w:eastAsia="en-CA"/>
              </w:rPr>
            </w:pPr>
            <w:r w:rsidRPr="00052990">
              <w:rPr>
                <w:rFonts w:eastAsia="Times New Roman"/>
                <w:b/>
                <w:bCs/>
                <w:color w:val="000000"/>
                <w:szCs w:val="24"/>
                <w:lang w:val="en-CA" w:eastAsia="en-CA"/>
              </w:rPr>
              <w:t>Voter Participation 2016</w:t>
            </w:r>
          </w:p>
        </w:tc>
      </w:tr>
      <w:tr w:rsidR="00052990" w:rsidRPr="00052990" w14:paraId="13F3AE2D" w14:textId="77777777" w:rsidTr="00052990">
        <w:trPr>
          <w:trHeight w:val="320"/>
        </w:trPr>
        <w:tc>
          <w:tcPr>
            <w:tcW w:w="2505" w:type="dxa"/>
            <w:tcBorders>
              <w:top w:val="single" w:sz="12" w:space="0" w:color="FFFFFF"/>
              <w:left w:val="nil"/>
              <w:bottom w:val="nil"/>
              <w:right w:val="nil"/>
            </w:tcBorders>
            <w:shd w:val="clear" w:color="B4C6E7" w:fill="B4C6E7"/>
            <w:noWrap/>
            <w:vAlign w:val="bottom"/>
            <w:hideMark/>
          </w:tcPr>
          <w:p w14:paraId="38B5098D" w14:textId="77777777" w:rsidR="00052990" w:rsidRPr="00052990" w:rsidRDefault="00052990" w:rsidP="003C35B0">
            <w:pPr>
              <w:spacing w:after="0" w:line="240" w:lineRule="auto"/>
              <w:jc w:val="both"/>
              <w:rPr>
                <w:rFonts w:eastAsia="Times New Roman"/>
                <w:color w:val="000000"/>
                <w:szCs w:val="24"/>
                <w:lang w:val="en-CA" w:eastAsia="en-CA"/>
              </w:rPr>
            </w:pPr>
            <w:r w:rsidRPr="00052990">
              <w:rPr>
                <w:rFonts w:eastAsia="Times New Roman"/>
                <w:color w:val="000000"/>
                <w:szCs w:val="24"/>
                <w:lang w:eastAsia="en-CA"/>
              </w:rPr>
              <w:t xml:space="preserve">Saint-Antoine </w:t>
            </w:r>
          </w:p>
        </w:tc>
        <w:tc>
          <w:tcPr>
            <w:tcW w:w="1647" w:type="dxa"/>
            <w:tcBorders>
              <w:top w:val="single" w:sz="12" w:space="0" w:color="FFFFFF"/>
              <w:left w:val="single" w:sz="4" w:space="0" w:color="FFFFFF"/>
              <w:bottom w:val="nil"/>
              <w:right w:val="nil"/>
            </w:tcBorders>
            <w:shd w:val="clear" w:color="B4C6E7" w:fill="B4C6E7"/>
            <w:noWrap/>
            <w:vAlign w:val="bottom"/>
            <w:hideMark/>
          </w:tcPr>
          <w:p w14:paraId="143C26E4" w14:textId="77777777" w:rsidR="00052990" w:rsidRPr="00052990" w:rsidRDefault="00052990" w:rsidP="003C35B0">
            <w:pPr>
              <w:spacing w:after="0" w:line="240" w:lineRule="auto"/>
              <w:jc w:val="right"/>
              <w:rPr>
                <w:rFonts w:eastAsia="Times New Roman"/>
                <w:color w:val="000000"/>
                <w:szCs w:val="24"/>
                <w:lang w:val="en-CA" w:eastAsia="en-CA"/>
              </w:rPr>
            </w:pPr>
            <w:r w:rsidRPr="00052990">
              <w:rPr>
                <w:rFonts w:eastAsia="Times New Roman"/>
                <w:color w:val="000000"/>
                <w:szCs w:val="24"/>
                <w:lang w:eastAsia="en-CA"/>
              </w:rPr>
              <w:t>acclaimed</w:t>
            </w:r>
          </w:p>
        </w:tc>
        <w:tc>
          <w:tcPr>
            <w:tcW w:w="1644" w:type="dxa"/>
            <w:tcBorders>
              <w:top w:val="single" w:sz="12" w:space="0" w:color="FFFFFF"/>
              <w:left w:val="single" w:sz="4" w:space="0" w:color="FFFFFF"/>
              <w:bottom w:val="nil"/>
              <w:right w:val="nil"/>
            </w:tcBorders>
            <w:shd w:val="clear" w:color="B4C6E7" w:fill="B4C6E7"/>
            <w:noWrap/>
            <w:vAlign w:val="bottom"/>
            <w:hideMark/>
          </w:tcPr>
          <w:p w14:paraId="62ACA2F0" w14:textId="77777777" w:rsidR="00052990" w:rsidRPr="00052990" w:rsidRDefault="00052990" w:rsidP="003C35B0">
            <w:pPr>
              <w:spacing w:after="0" w:line="240" w:lineRule="auto"/>
              <w:jc w:val="right"/>
              <w:rPr>
                <w:rFonts w:eastAsia="Times New Roman"/>
                <w:color w:val="000000"/>
                <w:szCs w:val="24"/>
                <w:lang w:val="en-CA" w:eastAsia="en-CA"/>
              </w:rPr>
            </w:pPr>
            <w:r w:rsidRPr="00052990">
              <w:rPr>
                <w:rFonts w:eastAsia="Times New Roman"/>
                <w:color w:val="000000"/>
                <w:szCs w:val="24"/>
                <w:lang w:eastAsia="en-CA"/>
              </w:rPr>
              <w:t>68.6%</w:t>
            </w:r>
          </w:p>
        </w:tc>
      </w:tr>
      <w:tr w:rsidR="00052990" w:rsidRPr="00052990" w14:paraId="16D615EA" w14:textId="77777777" w:rsidTr="00052990">
        <w:trPr>
          <w:trHeight w:val="310"/>
        </w:trPr>
        <w:tc>
          <w:tcPr>
            <w:tcW w:w="2505" w:type="dxa"/>
            <w:tcBorders>
              <w:top w:val="single" w:sz="4" w:space="0" w:color="FFFFFF"/>
              <w:left w:val="nil"/>
              <w:bottom w:val="nil"/>
              <w:right w:val="nil"/>
            </w:tcBorders>
            <w:shd w:val="clear" w:color="D9E1F2" w:fill="D9E1F2"/>
            <w:noWrap/>
            <w:vAlign w:val="bottom"/>
            <w:hideMark/>
          </w:tcPr>
          <w:p w14:paraId="066DB7C9" w14:textId="77777777" w:rsidR="00052990" w:rsidRPr="00052990" w:rsidRDefault="00052990" w:rsidP="003C35B0">
            <w:pPr>
              <w:spacing w:after="0" w:line="240" w:lineRule="auto"/>
              <w:jc w:val="both"/>
              <w:rPr>
                <w:rFonts w:eastAsia="Times New Roman"/>
                <w:color w:val="000000"/>
                <w:szCs w:val="24"/>
                <w:lang w:val="en-CA" w:eastAsia="en-CA"/>
              </w:rPr>
            </w:pPr>
            <w:proofErr w:type="spellStart"/>
            <w:r w:rsidRPr="00052990">
              <w:rPr>
                <w:rFonts w:eastAsia="Times New Roman"/>
                <w:color w:val="000000"/>
                <w:szCs w:val="24"/>
                <w:lang w:eastAsia="en-CA"/>
              </w:rPr>
              <w:t>Cocagne</w:t>
            </w:r>
            <w:proofErr w:type="spellEnd"/>
            <w:r w:rsidRPr="00052990">
              <w:rPr>
                <w:rFonts w:eastAsia="Times New Roman"/>
                <w:color w:val="000000"/>
                <w:szCs w:val="24"/>
                <w:lang w:eastAsia="en-CA"/>
              </w:rPr>
              <w:t xml:space="preserve"> </w:t>
            </w:r>
          </w:p>
        </w:tc>
        <w:tc>
          <w:tcPr>
            <w:tcW w:w="1647" w:type="dxa"/>
            <w:tcBorders>
              <w:top w:val="single" w:sz="4" w:space="0" w:color="FFFFFF"/>
              <w:left w:val="single" w:sz="4" w:space="0" w:color="FFFFFF"/>
              <w:bottom w:val="nil"/>
              <w:right w:val="nil"/>
            </w:tcBorders>
            <w:shd w:val="clear" w:color="D9E1F2" w:fill="D9E1F2"/>
            <w:noWrap/>
            <w:vAlign w:val="bottom"/>
            <w:hideMark/>
          </w:tcPr>
          <w:p w14:paraId="3A305FC7" w14:textId="77777777" w:rsidR="00052990" w:rsidRPr="00052990" w:rsidRDefault="00052990" w:rsidP="003C35B0">
            <w:pPr>
              <w:spacing w:after="0" w:line="240" w:lineRule="auto"/>
              <w:jc w:val="right"/>
              <w:rPr>
                <w:rFonts w:eastAsia="Times New Roman"/>
                <w:color w:val="000000"/>
                <w:szCs w:val="24"/>
                <w:lang w:val="en-CA" w:eastAsia="en-CA"/>
              </w:rPr>
            </w:pPr>
            <w:r w:rsidRPr="00052990">
              <w:rPr>
                <w:rFonts w:eastAsia="Times New Roman"/>
                <w:color w:val="000000"/>
                <w:szCs w:val="24"/>
                <w:lang w:eastAsia="en-CA"/>
              </w:rPr>
              <w:t>N/A</w:t>
            </w:r>
          </w:p>
        </w:tc>
        <w:tc>
          <w:tcPr>
            <w:tcW w:w="1644" w:type="dxa"/>
            <w:tcBorders>
              <w:top w:val="single" w:sz="4" w:space="0" w:color="FFFFFF"/>
              <w:left w:val="single" w:sz="4" w:space="0" w:color="FFFFFF"/>
              <w:bottom w:val="nil"/>
              <w:right w:val="nil"/>
            </w:tcBorders>
            <w:shd w:val="clear" w:color="D9E1F2" w:fill="D9E1F2"/>
            <w:noWrap/>
            <w:vAlign w:val="bottom"/>
            <w:hideMark/>
          </w:tcPr>
          <w:p w14:paraId="6CD73340" w14:textId="77777777" w:rsidR="00052990" w:rsidRPr="00052990" w:rsidRDefault="00052990" w:rsidP="003C35B0">
            <w:pPr>
              <w:spacing w:after="0" w:line="240" w:lineRule="auto"/>
              <w:jc w:val="right"/>
              <w:rPr>
                <w:rFonts w:eastAsia="Times New Roman"/>
                <w:color w:val="000000"/>
                <w:szCs w:val="24"/>
                <w:lang w:val="en-CA" w:eastAsia="en-CA"/>
              </w:rPr>
            </w:pPr>
            <w:r w:rsidRPr="00052990">
              <w:rPr>
                <w:rFonts w:eastAsia="Times New Roman"/>
                <w:color w:val="000000"/>
                <w:szCs w:val="24"/>
                <w:lang w:eastAsia="en-CA"/>
              </w:rPr>
              <w:t>53.5%</w:t>
            </w:r>
          </w:p>
        </w:tc>
      </w:tr>
      <w:tr w:rsidR="00052990" w:rsidRPr="00052990" w14:paraId="39A1D24A" w14:textId="77777777" w:rsidTr="00052990">
        <w:trPr>
          <w:trHeight w:val="290"/>
        </w:trPr>
        <w:tc>
          <w:tcPr>
            <w:tcW w:w="5796" w:type="dxa"/>
            <w:gridSpan w:val="3"/>
            <w:tcBorders>
              <w:top w:val="nil"/>
              <w:left w:val="nil"/>
              <w:bottom w:val="nil"/>
              <w:right w:val="nil"/>
            </w:tcBorders>
            <w:shd w:val="clear" w:color="auto" w:fill="auto"/>
            <w:noWrap/>
            <w:vAlign w:val="bottom"/>
            <w:hideMark/>
          </w:tcPr>
          <w:p w14:paraId="2E1368A2" w14:textId="77777777" w:rsidR="00052990" w:rsidRPr="00052990" w:rsidRDefault="00052990" w:rsidP="003C35B0">
            <w:pPr>
              <w:spacing w:after="0" w:line="240" w:lineRule="auto"/>
              <w:jc w:val="both"/>
              <w:rPr>
                <w:rFonts w:eastAsia="Times New Roman"/>
                <w:color w:val="000000"/>
                <w:sz w:val="20"/>
                <w:szCs w:val="20"/>
                <w:lang w:val="en-CA" w:eastAsia="en-CA"/>
              </w:rPr>
            </w:pPr>
            <w:r w:rsidRPr="00052990">
              <w:rPr>
                <w:rFonts w:eastAsia="Times New Roman"/>
                <w:color w:val="000000"/>
                <w:sz w:val="20"/>
                <w:szCs w:val="20"/>
                <w:lang w:val="en-CA" w:eastAsia="en-CA"/>
              </w:rPr>
              <w:t>1. Elections NB</w:t>
            </w:r>
          </w:p>
        </w:tc>
      </w:tr>
    </w:tbl>
    <w:p w14:paraId="6D4A040E" w14:textId="7EBA080E" w:rsidR="00706E1B" w:rsidRDefault="00BC2FFE" w:rsidP="003C35B0">
      <w:pPr>
        <w:jc w:val="both"/>
        <w:rPr>
          <w:rFonts w:eastAsia="Times New Roman"/>
          <w:color w:val="000000" w:themeColor="text1"/>
          <w:szCs w:val="24"/>
        </w:rPr>
      </w:pPr>
      <w:r>
        <w:rPr>
          <w:rFonts w:eastAsia="Times New Roman"/>
          <w:color w:val="000000" w:themeColor="text1"/>
          <w:szCs w:val="24"/>
        </w:rPr>
        <w:t xml:space="preserve">As it stands today, </w:t>
      </w:r>
      <w:r w:rsidR="002B7BBD">
        <w:rPr>
          <w:rFonts w:eastAsia="Times New Roman"/>
          <w:color w:val="000000" w:themeColor="text1"/>
          <w:szCs w:val="24"/>
        </w:rPr>
        <w:t>6</w:t>
      </w:r>
      <w:r w:rsidR="00AE6257">
        <w:rPr>
          <w:rFonts w:eastAsia="Times New Roman"/>
          <w:color w:val="000000" w:themeColor="text1"/>
          <w:szCs w:val="24"/>
        </w:rPr>
        <w:t>0</w:t>
      </w:r>
      <w:r w:rsidR="008C0AE3">
        <w:rPr>
          <w:rFonts w:eastAsia="Times New Roman"/>
          <w:color w:val="000000" w:themeColor="text1"/>
          <w:szCs w:val="24"/>
        </w:rPr>
        <w:t xml:space="preserve">% of the proposed entity’s population live in unincorporated areas and are accordingly without </w:t>
      </w:r>
      <w:r w:rsidR="00CD005E">
        <w:rPr>
          <w:rFonts w:eastAsia="Times New Roman"/>
          <w:color w:val="000000" w:themeColor="text1"/>
          <w:szCs w:val="24"/>
        </w:rPr>
        <w:t xml:space="preserve">representative local government. </w:t>
      </w:r>
      <w:r w:rsidR="00BC2688">
        <w:rPr>
          <w:rFonts w:eastAsia="Times New Roman"/>
          <w:color w:val="000000" w:themeColor="text1"/>
          <w:szCs w:val="24"/>
        </w:rPr>
        <w:t>In addition</w:t>
      </w:r>
      <w:r w:rsidR="000804BC">
        <w:rPr>
          <w:rFonts w:eastAsia="Times New Roman"/>
          <w:color w:val="000000" w:themeColor="text1"/>
          <w:szCs w:val="24"/>
        </w:rPr>
        <w:t xml:space="preserve"> to the </w:t>
      </w:r>
      <w:r w:rsidR="00D01EF8">
        <w:rPr>
          <w:rFonts w:eastAsia="Times New Roman"/>
          <w:color w:val="000000" w:themeColor="text1"/>
          <w:szCs w:val="24"/>
        </w:rPr>
        <w:t xml:space="preserve">lack of democratic institutions, </w:t>
      </w:r>
      <w:r w:rsidR="00CC1C41">
        <w:rPr>
          <w:rFonts w:eastAsia="Times New Roman"/>
          <w:color w:val="000000" w:themeColor="text1"/>
          <w:szCs w:val="24"/>
        </w:rPr>
        <w:t>t</w:t>
      </w:r>
      <w:r w:rsidR="000C483C">
        <w:rPr>
          <w:rFonts w:eastAsia="Times New Roman"/>
          <w:color w:val="000000" w:themeColor="text1"/>
          <w:szCs w:val="24"/>
        </w:rPr>
        <w:t xml:space="preserve">he lack of incorporated municipal entities means that </w:t>
      </w:r>
      <w:r w:rsidR="00CC1C41">
        <w:rPr>
          <w:rFonts w:eastAsia="Times New Roman"/>
          <w:color w:val="000000" w:themeColor="text1"/>
          <w:szCs w:val="24"/>
        </w:rPr>
        <w:t xml:space="preserve">there is </w:t>
      </w:r>
      <w:r w:rsidR="0092049E">
        <w:rPr>
          <w:rFonts w:eastAsia="Times New Roman"/>
          <w:color w:val="000000" w:themeColor="text1"/>
          <w:szCs w:val="24"/>
        </w:rPr>
        <w:t xml:space="preserve">no land use planning </w:t>
      </w:r>
      <w:r w:rsidR="00183857">
        <w:rPr>
          <w:rFonts w:eastAsia="Times New Roman"/>
          <w:color w:val="000000" w:themeColor="text1"/>
          <w:szCs w:val="24"/>
        </w:rPr>
        <w:t xml:space="preserve">outside of Saint-Antoine and </w:t>
      </w:r>
      <w:proofErr w:type="spellStart"/>
      <w:r w:rsidR="00993135">
        <w:rPr>
          <w:rFonts w:eastAsia="Times New Roman"/>
          <w:color w:val="000000" w:themeColor="text1"/>
          <w:szCs w:val="24"/>
        </w:rPr>
        <w:t>Cocagne</w:t>
      </w:r>
      <w:proofErr w:type="spellEnd"/>
      <w:r w:rsidR="00993135">
        <w:rPr>
          <w:rFonts w:eastAsia="Times New Roman"/>
          <w:color w:val="000000" w:themeColor="text1"/>
          <w:szCs w:val="24"/>
        </w:rPr>
        <w:t>.</w:t>
      </w:r>
      <w:r w:rsidR="0092049E">
        <w:rPr>
          <w:rFonts w:eastAsia="Times New Roman"/>
          <w:color w:val="000000" w:themeColor="text1"/>
          <w:szCs w:val="24"/>
        </w:rPr>
        <w:t xml:space="preserve"> </w:t>
      </w:r>
      <w:r w:rsidR="00706E1B">
        <w:rPr>
          <w:rFonts w:eastAsia="Times New Roman"/>
          <w:color w:val="000000" w:themeColor="text1"/>
          <w:szCs w:val="24"/>
        </w:rPr>
        <w:t xml:space="preserve">Amalgamation into </w:t>
      </w:r>
      <w:r w:rsidR="009F5BA0">
        <w:rPr>
          <w:rFonts w:eastAsia="Times New Roman"/>
          <w:color w:val="000000" w:themeColor="text1"/>
          <w:szCs w:val="24"/>
        </w:rPr>
        <w:t>Entity 25</w:t>
      </w:r>
      <w:r w:rsidR="00706E1B">
        <w:rPr>
          <w:rFonts w:eastAsia="Times New Roman"/>
          <w:color w:val="000000" w:themeColor="text1"/>
          <w:szCs w:val="24"/>
        </w:rPr>
        <w:t xml:space="preserve"> would therefore benefit the residents of the affected LSDs</w:t>
      </w:r>
      <w:r w:rsidR="00BF1884">
        <w:rPr>
          <w:rFonts w:eastAsia="Times New Roman"/>
          <w:color w:val="000000" w:themeColor="text1"/>
          <w:szCs w:val="24"/>
        </w:rPr>
        <w:t xml:space="preserve"> by enabling them to </w:t>
      </w:r>
      <w:r w:rsidR="00E4534D">
        <w:rPr>
          <w:rFonts w:eastAsia="Times New Roman"/>
          <w:color w:val="000000" w:themeColor="text1"/>
          <w:szCs w:val="24"/>
        </w:rPr>
        <w:t xml:space="preserve">use the </w:t>
      </w:r>
      <w:r w:rsidR="00B423DA">
        <w:rPr>
          <w:rFonts w:eastAsia="Times New Roman"/>
          <w:color w:val="000000" w:themeColor="text1"/>
          <w:szCs w:val="24"/>
        </w:rPr>
        <w:t xml:space="preserve">resources they possess and control this development through local representative institutions. </w:t>
      </w:r>
    </w:p>
    <w:p w14:paraId="0639F154" w14:textId="04D97E63" w:rsidR="00C73761" w:rsidRDefault="00F636B5" w:rsidP="003C35B0">
      <w:pPr>
        <w:jc w:val="both"/>
        <w:rPr>
          <w:rFonts w:eastAsia="Times New Roman"/>
          <w:color w:val="000000" w:themeColor="text1"/>
          <w:szCs w:val="24"/>
        </w:rPr>
      </w:pPr>
      <w:r>
        <w:rPr>
          <w:rFonts w:eastAsia="Times New Roman"/>
          <w:color w:val="000000" w:themeColor="text1"/>
          <w:szCs w:val="24"/>
        </w:rPr>
        <w:t>In addition, amalgamation would</w:t>
      </w:r>
      <w:r w:rsidR="003D69F7">
        <w:rPr>
          <w:rFonts w:eastAsia="Times New Roman"/>
          <w:color w:val="000000" w:themeColor="text1"/>
          <w:szCs w:val="24"/>
        </w:rPr>
        <w:t xml:space="preserve"> benefit the proposed entity’s existing municipalities’ democratic institutions</w:t>
      </w:r>
      <w:r w:rsidR="009E5962">
        <w:rPr>
          <w:rFonts w:eastAsia="Times New Roman"/>
          <w:color w:val="000000" w:themeColor="text1"/>
          <w:szCs w:val="24"/>
        </w:rPr>
        <w:t xml:space="preserve">. </w:t>
      </w:r>
      <w:r w:rsidR="00B27F26">
        <w:rPr>
          <w:rFonts w:eastAsia="Times New Roman"/>
          <w:color w:val="000000" w:themeColor="text1"/>
          <w:szCs w:val="24"/>
        </w:rPr>
        <w:t xml:space="preserve">In the 2012 </w:t>
      </w:r>
      <w:r w:rsidR="00C73761">
        <w:rPr>
          <w:rFonts w:eastAsia="Times New Roman"/>
          <w:color w:val="000000" w:themeColor="text1"/>
          <w:szCs w:val="24"/>
        </w:rPr>
        <w:t xml:space="preserve">quadrennial election, Saint-Antoine was unable to garner enough interested candidates to hold a contested election. </w:t>
      </w:r>
      <w:r w:rsidR="000467DA">
        <w:rPr>
          <w:rFonts w:eastAsia="Times New Roman"/>
          <w:color w:val="000000" w:themeColor="text1"/>
          <w:szCs w:val="24"/>
        </w:rPr>
        <w:t>Acclamations</w:t>
      </w:r>
      <w:r w:rsidR="00C73761">
        <w:rPr>
          <w:rFonts w:eastAsia="Times New Roman"/>
          <w:color w:val="000000" w:themeColor="text1"/>
          <w:szCs w:val="24"/>
        </w:rPr>
        <w:t xml:space="preserve"> represent a contraction in the community’s pool of potential candidates. While less </w:t>
      </w:r>
      <w:r w:rsidR="00C73761">
        <w:rPr>
          <w:rFonts w:eastAsia="Times New Roman"/>
          <w:color w:val="000000" w:themeColor="text1"/>
          <w:szCs w:val="24"/>
        </w:rPr>
        <w:lastRenderedPageBreak/>
        <w:t xml:space="preserve">quantifiable than voter participation, if a community cannot sustain a pool of interested, qualified, and dedicated potential candidates for public office, the community’s democratic institutions will suffer. </w:t>
      </w:r>
    </w:p>
    <w:p w14:paraId="419E6FF5" w14:textId="698F4E47" w:rsidR="0064551D" w:rsidRDefault="004E4F6D" w:rsidP="003C35B0">
      <w:pPr>
        <w:jc w:val="both"/>
        <w:rPr>
          <w:rFonts w:eastAsia="Times New Roman"/>
          <w:color w:val="000000" w:themeColor="text1"/>
          <w:szCs w:val="24"/>
        </w:rPr>
      </w:pPr>
      <w:r>
        <w:rPr>
          <w:rFonts w:eastAsia="Times New Roman"/>
          <w:color w:val="000000" w:themeColor="text1"/>
          <w:szCs w:val="24"/>
        </w:rPr>
        <w:t xml:space="preserve">The solution for the municipalities of proposed Entity 25 is therefore to expand incorporation and suffrage to contiguous LSDs. Expanding the electorate creates a greater competition of interests, leading to better accountability. However, the more immediate benefit for the proposed municipality is the expansion of the potential candidate pool. An example of such a strategy succeeding can be observed in the Village of Eel River Crossing. In 2014, </w:t>
      </w:r>
      <w:proofErr w:type="gramStart"/>
      <w:r>
        <w:rPr>
          <w:rFonts w:eastAsia="Times New Roman"/>
          <w:color w:val="000000" w:themeColor="text1"/>
          <w:szCs w:val="24"/>
        </w:rPr>
        <w:t>a number of</w:t>
      </w:r>
      <w:proofErr w:type="gramEnd"/>
      <w:r>
        <w:rPr>
          <w:rFonts w:eastAsia="Times New Roman"/>
          <w:color w:val="000000" w:themeColor="text1"/>
          <w:szCs w:val="24"/>
        </w:rPr>
        <w:t xml:space="preserve"> contiguous LSDs voted to join the nearby village, resulting in a 2015 election which was highly contested. </w:t>
      </w:r>
      <w:r w:rsidRPr="00226288">
        <w:rPr>
          <w:rFonts w:eastAsia="Times New Roman"/>
          <w:color w:val="000000" w:themeColor="text1"/>
          <w:szCs w:val="24"/>
        </w:rPr>
        <w:t>Eel River Crossing’s first election s</w:t>
      </w:r>
      <w:r>
        <w:rPr>
          <w:rFonts w:eastAsia="Times New Roman"/>
          <w:color w:val="000000" w:themeColor="text1"/>
          <w:szCs w:val="24"/>
        </w:rPr>
        <w:t xml:space="preserve">aw 8 </w:t>
      </w:r>
      <w:r w:rsidRPr="00226288">
        <w:rPr>
          <w:rFonts w:eastAsia="Times New Roman"/>
          <w:color w:val="000000" w:themeColor="text1"/>
          <w:szCs w:val="24"/>
        </w:rPr>
        <w:t xml:space="preserve">candidates compete for 4 at-large </w:t>
      </w:r>
      <w:proofErr w:type="spellStart"/>
      <w:r w:rsidRPr="00226288">
        <w:rPr>
          <w:rFonts w:eastAsia="Times New Roman"/>
          <w:color w:val="000000" w:themeColor="text1"/>
          <w:szCs w:val="24"/>
        </w:rPr>
        <w:t>councillor</w:t>
      </w:r>
      <w:proofErr w:type="spellEnd"/>
      <w:r w:rsidRPr="00226288">
        <w:rPr>
          <w:rFonts w:eastAsia="Times New Roman"/>
          <w:color w:val="000000" w:themeColor="text1"/>
          <w:szCs w:val="24"/>
        </w:rPr>
        <w:t xml:space="preserve"> positions. Of these </w:t>
      </w:r>
      <w:r>
        <w:rPr>
          <w:rFonts w:eastAsia="Times New Roman"/>
          <w:color w:val="000000" w:themeColor="text1"/>
          <w:szCs w:val="24"/>
        </w:rPr>
        <w:t>8</w:t>
      </w:r>
      <w:r w:rsidRPr="00226288">
        <w:rPr>
          <w:rFonts w:eastAsia="Times New Roman"/>
          <w:color w:val="000000" w:themeColor="text1"/>
          <w:szCs w:val="24"/>
        </w:rPr>
        <w:t xml:space="preserve"> candidates, 4 were from previously unincorporated areas.</w:t>
      </w:r>
      <w:r>
        <w:rPr>
          <w:rFonts w:eastAsia="Times New Roman"/>
          <w:color w:val="000000" w:themeColor="text1"/>
          <w:szCs w:val="24"/>
        </w:rPr>
        <w:t xml:space="preserve"> The amalgamation of contiguous local governance entities should therefore be considered by the residents of the entities concerned.</w:t>
      </w:r>
    </w:p>
    <w:p w14:paraId="3EC3BF32" w14:textId="0FE57565" w:rsidR="00226288" w:rsidRPr="00431ACD" w:rsidRDefault="00226288" w:rsidP="003C35B0">
      <w:pPr>
        <w:jc w:val="both"/>
        <w:rPr>
          <w:rFonts w:eastAsia="Times New Roman"/>
          <w:color w:val="000000" w:themeColor="text1"/>
          <w:szCs w:val="24"/>
        </w:rPr>
      </w:pPr>
      <w:r w:rsidRPr="00226288">
        <w:rPr>
          <w:rFonts w:eastAsia="Times New Roman"/>
          <w:b/>
          <w:bCs/>
          <w:szCs w:val="24"/>
        </w:rPr>
        <w:t>Financial Base</w:t>
      </w:r>
    </w:p>
    <w:p w14:paraId="4AF82FC1" w14:textId="0D25BF20" w:rsidR="00742AD8" w:rsidRPr="00226288" w:rsidRDefault="00EB6529" w:rsidP="003C35B0">
      <w:pPr>
        <w:jc w:val="both"/>
      </w:pPr>
      <w:r>
        <w:t>Entity 25</w:t>
      </w:r>
      <w:r w:rsidR="00742AD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3F9D6446" w:rsidR="00226288" w:rsidRPr="00B125F3" w:rsidRDefault="00226288" w:rsidP="003C35B0">
      <w:pPr>
        <w:jc w:val="both"/>
        <w:rPr>
          <w:rFonts w:ascii="Calibri" w:eastAsia="Times New Roman" w:hAnsi="Calibri"/>
          <w:color w:val="000000"/>
          <w:sz w:val="22"/>
          <w:lang w:val="en-CA" w:eastAsia="en-CA"/>
        </w:rPr>
      </w:pPr>
      <w:r w:rsidRPr="00226288">
        <w:t xml:space="preserve">Because its population is </w:t>
      </w:r>
      <w:r w:rsidR="00091112">
        <w:t>below</w:t>
      </w:r>
      <w:r w:rsidRPr="00226288">
        <w:t xml:space="preserve"> </w:t>
      </w:r>
      <w:r w:rsidR="00B125F3">
        <w:t>1</w:t>
      </w:r>
      <w:r w:rsidR="00275F78">
        <w:t>0000</w:t>
      </w:r>
      <w:r w:rsidRPr="00226288">
        <w:t xml:space="preserve">, </w:t>
      </w:r>
      <w:r w:rsidR="009F5BA0">
        <w:t>Entity 25</w:t>
      </w:r>
      <w:r w:rsidR="00B125F3">
        <w:t xml:space="preserve"> would qualify as a ‘Group </w:t>
      </w:r>
      <w:r w:rsidR="00091112">
        <w:t>A</w:t>
      </w:r>
      <w:r w:rsidR="003B2A08">
        <w:t>’</w:t>
      </w:r>
      <w:r w:rsidRPr="00226288">
        <w:t xml:space="preserve"> municipality</w:t>
      </w:r>
      <w:r w:rsidR="003011C3">
        <w:t xml:space="preserve">. </w:t>
      </w:r>
      <w:r w:rsidR="005F3CDF">
        <w:t xml:space="preserve">As </w:t>
      </w:r>
      <w:r w:rsidR="00533916">
        <w:t>Entity 25</w:t>
      </w:r>
      <w:r w:rsidR="005F3CDF">
        <w:t xml:space="preserve">’s assessment base per capita </w:t>
      </w:r>
      <w:r w:rsidR="005F3CDF" w:rsidRPr="000852E9">
        <w:rPr>
          <w:szCs w:val="24"/>
        </w:rPr>
        <w:t xml:space="preserve">would </w:t>
      </w:r>
      <w:r w:rsidR="005F3CDF">
        <w:rPr>
          <w:szCs w:val="24"/>
        </w:rPr>
        <w:t>be lesser than</w:t>
      </w:r>
      <w:r w:rsidR="005F3CDF" w:rsidRPr="000852E9">
        <w:rPr>
          <w:szCs w:val="24"/>
        </w:rPr>
        <w:t xml:space="preserve"> the group average, </w:t>
      </w:r>
      <w:r w:rsidR="005F3CDF">
        <w:rPr>
          <w:szCs w:val="24"/>
        </w:rPr>
        <w:t>it would be entitled to an</w:t>
      </w:r>
      <w:r w:rsidR="005F3CDF" w:rsidRPr="000852E9">
        <w:rPr>
          <w:szCs w:val="24"/>
        </w:rPr>
        <w:t xml:space="preserve"> annual equalization </w:t>
      </w:r>
      <w:r w:rsidR="005F3CDF" w:rsidRPr="0051512A">
        <w:rPr>
          <w:szCs w:val="24"/>
        </w:rPr>
        <w:t xml:space="preserve">grant of </w:t>
      </w:r>
      <w:r w:rsidR="00475BEB">
        <w:rPr>
          <w:rFonts w:eastAsia="Times New Roman"/>
          <w:color w:val="000000"/>
          <w:szCs w:val="24"/>
          <w:lang w:val="en-CA" w:eastAsia="en-CA"/>
        </w:rPr>
        <w:t>$385,635</w:t>
      </w:r>
      <w:r w:rsidR="005F3CDF" w:rsidRPr="0051512A">
        <w:rPr>
          <w:rFonts w:eastAsia="Times New Roman"/>
          <w:color w:val="000000"/>
          <w:szCs w:val="24"/>
          <w:lang w:val="en-CA" w:eastAsia="en-CA"/>
        </w:rPr>
        <w:t xml:space="preserve"> to</w:t>
      </w:r>
      <w:r w:rsidR="005F3CDF" w:rsidRPr="00FA1F49">
        <w:rPr>
          <w:rFonts w:eastAsia="Times New Roman"/>
          <w:color w:val="000000"/>
          <w:szCs w:val="24"/>
          <w:lang w:val="en-CA" w:eastAsia="en-CA"/>
        </w:rPr>
        <w:t xml:space="preserve"> ensure</w:t>
      </w:r>
      <w:r w:rsidR="005F3CDF" w:rsidRPr="009E0C04">
        <w:rPr>
          <w:rFonts w:eastAsia="Times New Roman"/>
          <w:color w:val="000000"/>
          <w:szCs w:val="24"/>
          <w:lang w:val="en-CA" w:eastAsia="en-CA"/>
        </w:rPr>
        <w:t xml:space="preserve"> equal opportunity among the 53 municipal entities. </w:t>
      </w:r>
      <w:r w:rsidR="005F3CDF" w:rsidRPr="009E0C04">
        <w:rPr>
          <w:szCs w:val="24"/>
        </w:rPr>
        <w:t>With the tax room transfer from the provincial</w:t>
      </w:r>
      <w:r w:rsidR="005F3CDF" w:rsidRPr="00C61508">
        <w:rPr>
          <w:szCs w:val="24"/>
        </w:rPr>
        <w:t xml:space="preserve"> government to municipal </w:t>
      </w:r>
      <w:r w:rsidR="005F3CDF" w:rsidRPr="00FA1F49">
        <w:rPr>
          <w:szCs w:val="24"/>
        </w:rPr>
        <w:t xml:space="preserve">governments included in the proposed new framework, </w:t>
      </w:r>
      <w:r w:rsidR="00533916">
        <w:rPr>
          <w:szCs w:val="24"/>
        </w:rPr>
        <w:t>Entity 25</w:t>
      </w:r>
      <w:r w:rsidR="005F3CDF" w:rsidRPr="00FA1F49">
        <w:rPr>
          <w:szCs w:val="24"/>
        </w:rPr>
        <w:t xml:space="preserve">’s assessment base of </w:t>
      </w:r>
      <w:r w:rsidR="00E43716">
        <w:rPr>
          <w:rFonts w:eastAsia="Times New Roman"/>
          <w:color w:val="000000"/>
          <w:szCs w:val="24"/>
          <w:lang w:val="en-CA" w:eastAsia="en-CA"/>
        </w:rPr>
        <w:t xml:space="preserve">$273,265,200 </w:t>
      </w:r>
      <w:r w:rsidR="00F42678" w:rsidRPr="00FA1F49">
        <w:rPr>
          <w:szCs w:val="24"/>
        </w:rPr>
        <w:t>would</w:t>
      </w:r>
      <w:r w:rsidR="00F42678" w:rsidRPr="00A26B00">
        <w:rPr>
          <w:szCs w:val="24"/>
        </w:rPr>
        <w:t xml:space="preserve"> be able to yield more revenue than it could under the current local governance regime.</w:t>
      </w:r>
      <w:r w:rsidR="00F42678" w:rsidRPr="004E399E">
        <w:rPr>
          <w:szCs w:val="24"/>
        </w:rPr>
        <w:t xml:space="preserve"> Equal Opportunity among municipalities remains a priority in the new framework, but the primary guarantor of said equality is now tax warrants rather than equalization</w:t>
      </w:r>
      <w:r w:rsidR="00F42678">
        <w:t xml:space="preserve"> payments.</w:t>
      </w:r>
    </w:p>
    <w:p w14:paraId="61B53BEF" w14:textId="74677785" w:rsidR="00226288" w:rsidRPr="00226288" w:rsidRDefault="00226288" w:rsidP="003C35B0">
      <w:pPr>
        <w:jc w:val="both"/>
      </w:pPr>
      <w:r w:rsidRPr="00226288">
        <w:t xml:space="preserve">Beyond this unconditional grant, however, </w:t>
      </w:r>
      <w:r w:rsidR="009F5BA0">
        <w:t>Entity 25</w:t>
      </w:r>
      <w:r w:rsidRPr="00226288">
        <w:t xml:space="preserve"> will have additional revenue raising power. Of course, this tax room transfer does not necessitate that property tax rates will increase by $1.50 per $100 of valuation across </w:t>
      </w:r>
      <w:r w:rsidR="009F5BA0">
        <w:t>Entity 25</w:t>
      </w:r>
      <w:r w:rsidRPr="00226288">
        <w:t xml:space="preserve">, nor does it indicate that the entire municipality will operate with one uniform property tax rate. </w:t>
      </w:r>
      <w:r w:rsidRPr="00226288">
        <w:rPr>
          <w:rFonts w:eastAsia="Times New Roman"/>
          <w:szCs w:val="24"/>
        </w:rPr>
        <w:t xml:space="preserve">Because </w:t>
      </w:r>
      <w:r w:rsidR="009F5BA0">
        <w:rPr>
          <w:rFonts w:eastAsia="Times New Roman"/>
          <w:szCs w:val="24"/>
        </w:rPr>
        <w:t>Entity 25</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1EC72C46" w:rsidR="00226288" w:rsidRPr="00226288" w:rsidRDefault="00226288" w:rsidP="003C35B0">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w:t>
      </w:r>
      <w:r w:rsidRPr="00226288">
        <w:lastRenderedPageBreak/>
        <w:t xml:space="preserve">rates appropriate to their circumstances. Similar situations can be found across the province, with some cities even imposing different tax rates for those inside and outside the urban center. </w:t>
      </w:r>
      <w:r w:rsidR="009F5BA0">
        <w:t>Entity 25</w:t>
      </w:r>
      <w:r w:rsidR="003011C3">
        <w:t xml:space="preserve"> could easily implement a </w:t>
      </w:r>
      <w:r w:rsidR="003C35B0">
        <w:t>two-tiered</w:t>
      </w:r>
      <w:r w:rsidR="003011C3">
        <w:t xml:space="preserve"> property tax regime </w:t>
      </w:r>
      <w:proofErr w:type="gramStart"/>
      <w:r w:rsidR="003011C3">
        <w:t>similar to</w:t>
      </w:r>
      <w:proofErr w:type="gramEnd"/>
      <w:r w:rsidR="003011C3">
        <w:t xml:space="preserve"> Fredericton and Dieppe where those inside the urban area and those outside are charged substantially different rates.  </w:t>
      </w:r>
    </w:p>
    <w:p w14:paraId="42654CD4" w14:textId="200670B5" w:rsidR="00226288" w:rsidRPr="00226288" w:rsidRDefault="00226288" w:rsidP="003C35B0">
      <w:pPr>
        <w:jc w:val="both"/>
      </w:pPr>
      <w:r w:rsidRPr="00226288">
        <w:t xml:space="preserve">Overall, then, </w:t>
      </w:r>
      <w:r w:rsidR="009F5BA0">
        <w:t>Entity 25</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48EAD0E4" w:rsidR="00226288" w:rsidRPr="00226288" w:rsidRDefault="00226288" w:rsidP="003C35B0">
      <w:pPr>
        <w:jc w:val="both"/>
        <w:rPr>
          <w:b/>
          <w:bCs/>
        </w:rPr>
      </w:pPr>
      <w:r w:rsidRPr="00226288">
        <w:rPr>
          <w:b/>
          <w:bCs/>
        </w:rPr>
        <w:t>Division of Municipal and Provincial Responsibilities</w:t>
      </w:r>
    </w:p>
    <w:p w14:paraId="3936984A" w14:textId="58B9D34D" w:rsidR="00226288" w:rsidRPr="00226288" w:rsidRDefault="00762C21" w:rsidP="003C35B0">
      <w:pPr>
        <w:jc w:val="both"/>
      </w:pPr>
      <w:r w:rsidRPr="00226288">
        <w:rPr>
          <w:noProof/>
          <w:lang w:val="en-CA" w:eastAsia="en-CA"/>
        </w:rPr>
        <w:drawing>
          <wp:anchor distT="0" distB="0" distL="114300" distR="114300" simplePos="0" relativeHeight="251664384" behindDoc="0" locked="0" layoutInCell="1" allowOverlap="1" wp14:anchorId="42151AEA" wp14:editId="7A0DD9F2">
            <wp:simplePos x="0" y="0"/>
            <wp:positionH relativeFrom="margin">
              <wp:posOffset>5168900</wp:posOffset>
            </wp:positionH>
            <wp:positionV relativeFrom="paragraph">
              <wp:posOffset>415925</wp:posOffset>
            </wp:positionV>
            <wp:extent cx="1035050" cy="1289685"/>
            <wp:effectExtent l="0" t="0" r="0" b="5715"/>
            <wp:wrapThrough wrapText="bothSides">
              <wp:wrapPolygon edited="0">
                <wp:start x="795" y="0"/>
                <wp:lineTo x="0" y="957"/>
                <wp:lineTo x="0" y="20739"/>
                <wp:lineTo x="795" y="21377"/>
                <wp:lineTo x="20275" y="21377"/>
                <wp:lineTo x="21070" y="20739"/>
                <wp:lineTo x="21070" y="957"/>
                <wp:lineTo x="20275" y="0"/>
                <wp:lineTo x="79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113" t="57316" r="62841" b="14954"/>
                    <a:stretch/>
                  </pic:blipFill>
                  <pic:spPr bwMode="auto">
                    <a:xfrm>
                      <a:off x="0" y="0"/>
                      <a:ext cx="1035050" cy="1289685"/>
                    </a:xfrm>
                    <a:prstGeom prst="rect">
                      <a:avLst/>
                    </a:prstGeom>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A94">
        <w:rPr>
          <w:noProof/>
          <w:szCs w:val="24"/>
        </w:rPr>
        <w:drawing>
          <wp:anchor distT="0" distB="0" distL="114300" distR="114300" simplePos="0" relativeHeight="251663360" behindDoc="0" locked="0" layoutInCell="1" allowOverlap="1" wp14:anchorId="3EFE97F1" wp14:editId="25AE33E3">
            <wp:simplePos x="0" y="0"/>
            <wp:positionH relativeFrom="column">
              <wp:posOffset>2823210</wp:posOffset>
            </wp:positionH>
            <wp:positionV relativeFrom="paragraph">
              <wp:posOffset>416560</wp:posOffset>
            </wp:positionV>
            <wp:extent cx="2907665" cy="3155950"/>
            <wp:effectExtent l="0" t="0" r="6985" b="6350"/>
            <wp:wrapThrough wrapText="bothSides">
              <wp:wrapPolygon edited="0">
                <wp:start x="0" y="0"/>
                <wp:lineTo x="0" y="21513"/>
                <wp:lineTo x="21510" y="21513"/>
                <wp:lineTo x="2151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07665" cy="315595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szCs w:val="24"/>
        </w:rPr>
        <w:t xml:space="preserve">In addition to </w:t>
      </w:r>
      <w:r w:rsidR="00226288" w:rsidRPr="00226288">
        <w:t>policing, emergency measures planning,</w:t>
      </w:r>
      <w:r w:rsidR="00226288"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9F5BA0">
        <w:rPr>
          <w:rFonts w:eastAsia="Times New Roman"/>
          <w:szCs w:val="24"/>
        </w:rPr>
        <w:t>Entity 25</w:t>
      </w:r>
      <w:r w:rsidR="00226288" w:rsidRPr="00226288">
        <w:rPr>
          <w:rFonts w:eastAsia="Times New Roman"/>
          <w:szCs w:val="24"/>
        </w:rPr>
        <w:t xml:space="preserve">, and the tax rates of the entity would reflect this level of service. </w:t>
      </w:r>
    </w:p>
    <w:p w14:paraId="7E7D20ED" w14:textId="19A54B6A" w:rsidR="00226288" w:rsidRPr="00226288" w:rsidRDefault="00226288" w:rsidP="003C35B0">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21652055" w14:textId="7181E4F2" w:rsidR="00226288" w:rsidRPr="00226288" w:rsidRDefault="009F5BA0" w:rsidP="003C35B0">
      <w:pPr>
        <w:jc w:val="both"/>
        <w:rPr>
          <w:rFonts w:eastAsia="Times New Roman"/>
          <w:szCs w:val="24"/>
        </w:rPr>
      </w:pPr>
      <w:r>
        <w:rPr>
          <w:rFonts w:eastAsia="Times New Roman"/>
          <w:szCs w:val="24"/>
        </w:rPr>
        <w:t>Entity 25</w:t>
      </w:r>
      <w:r w:rsidR="00226288" w:rsidRPr="00226288">
        <w:rPr>
          <w:rFonts w:eastAsia="Times New Roman"/>
          <w:szCs w:val="24"/>
        </w:rPr>
        <w:t xml:space="preserve"> would belong to </w:t>
      </w:r>
      <w:r w:rsidR="00264855">
        <w:rPr>
          <w:rFonts w:eastAsia="Times New Roman"/>
          <w:szCs w:val="24"/>
        </w:rPr>
        <w:t>RSD 6</w:t>
      </w:r>
      <w:r w:rsidR="00226288" w:rsidRPr="00226288">
        <w:rPr>
          <w:rFonts w:eastAsia="Times New Roman"/>
          <w:szCs w:val="24"/>
        </w:rPr>
        <w:t xml:space="preserve"> along with its </w:t>
      </w:r>
      <w:proofErr w:type="spellStart"/>
      <w:r w:rsidR="00226288" w:rsidRPr="00226288">
        <w:rPr>
          <w:rFonts w:eastAsia="Times New Roman"/>
          <w:szCs w:val="24"/>
        </w:rPr>
        <w:t>neighbours</w:t>
      </w:r>
      <w:proofErr w:type="spellEnd"/>
      <w:r w:rsidR="00226288" w:rsidRPr="00226288">
        <w:rPr>
          <w:rFonts w:eastAsia="Times New Roman"/>
          <w:szCs w:val="24"/>
        </w:rPr>
        <w:t xml:space="preserve"> Entities </w:t>
      </w:r>
      <w:r w:rsidR="00D515A4">
        <w:rPr>
          <w:rFonts w:eastAsia="Times New Roman"/>
          <w:szCs w:val="24"/>
        </w:rPr>
        <w:t>2</w:t>
      </w:r>
      <w:r w:rsidR="00F143DB">
        <w:rPr>
          <w:rFonts w:eastAsia="Times New Roman"/>
          <w:szCs w:val="24"/>
        </w:rPr>
        <w:t>2</w:t>
      </w:r>
      <w:r w:rsidR="00DB6073">
        <w:rPr>
          <w:rFonts w:eastAsia="Times New Roman"/>
          <w:szCs w:val="24"/>
        </w:rPr>
        <w:t xml:space="preserve">, </w:t>
      </w:r>
      <w:r w:rsidR="00D515A4">
        <w:rPr>
          <w:rFonts w:eastAsia="Times New Roman"/>
          <w:szCs w:val="24"/>
        </w:rPr>
        <w:t>24</w:t>
      </w:r>
      <w:r w:rsidR="00DB6073">
        <w:rPr>
          <w:rFonts w:eastAsia="Times New Roman"/>
          <w:szCs w:val="24"/>
        </w:rPr>
        <w:t xml:space="preserve">, </w:t>
      </w:r>
      <w:r w:rsidR="006C5C01">
        <w:rPr>
          <w:rFonts w:eastAsia="Times New Roman"/>
          <w:szCs w:val="24"/>
        </w:rPr>
        <w:t xml:space="preserve">and </w:t>
      </w:r>
      <w:r w:rsidR="00DB6073">
        <w:rPr>
          <w:rFonts w:eastAsia="Times New Roman"/>
          <w:szCs w:val="24"/>
        </w:rPr>
        <w:t>2</w:t>
      </w:r>
      <w:r w:rsidR="003C35B0">
        <w:rPr>
          <w:rFonts w:eastAsia="Times New Roman"/>
          <w:szCs w:val="24"/>
        </w:rPr>
        <w:t>3</w:t>
      </w:r>
      <w:r w:rsidR="008E30F8">
        <w:rPr>
          <w:rFonts w:eastAsia="Times New Roman"/>
          <w:szCs w:val="24"/>
        </w:rPr>
        <w:t xml:space="preserve"> </w:t>
      </w:r>
      <w:r w:rsidR="00C72451">
        <w:rPr>
          <w:rFonts w:eastAsia="Times New Roman"/>
          <w:szCs w:val="24"/>
        </w:rPr>
        <w:t xml:space="preserve">covering </w:t>
      </w:r>
      <w:r w:rsidR="00FA2A26">
        <w:rPr>
          <w:rFonts w:eastAsia="Times New Roman"/>
          <w:szCs w:val="24"/>
        </w:rPr>
        <w:t>Kent</w:t>
      </w:r>
      <w:r w:rsidR="00906535">
        <w:rPr>
          <w:rFonts w:eastAsia="Times New Roman"/>
          <w:szCs w:val="24"/>
        </w:rPr>
        <w:t xml:space="preserve"> </w:t>
      </w:r>
      <w:r w:rsidR="00F351B8">
        <w:rPr>
          <w:rFonts w:eastAsia="Times New Roman"/>
          <w:szCs w:val="24"/>
        </w:rPr>
        <w:t>and portions of Northumberland and</w:t>
      </w:r>
      <w:r w:rsidR="00101D9B">
        <w:rPr>
          <w:rFonts w:eastAsia="Times New Roman"/>
          <w:szCs w:val="24"/>
        </w:rPr>
        <w:t xml:space="preserve"> Westmorland </w:t>
      </w:r>
      <w:r w:rsidR="00906535">
        <w:rPr>
          <w:rFonts w:eastAsia="Times New Roman"/>
          <w:szCs w:val="24"/>
        </w:rPr>
        <w:t>counties</w:t>
      </w:r>
      <w:r w:rsidR="00226288" w:rsidRPr="00226288">
        <w:rPr>
          <w:rFonts w:eastAsia="Times New Roman"/>
          <w:szCs w:val="24"/>
        </w:rPr>
        <w:t xml:space="preserve">. As with each municipal entity, RSDs could conceivably be named, but this would be left to each to determine for itself. All </w:t>
      </w:r>
      <w:r w:rsidR="00C77FBF">
        <w:rPr>
          <w:rFonts w:eastAsia="Times New Roman"/>
          <w:szCs w:val="24"/>
        </w:rPr>
        <w:t>4</w:t>
      </w:r>
      <w:r w:rsidR="00226288" w:rsidRPr="00226288">
        <w:rPr>
          <w:rFonts w:eastAsia="Times New Roman"/>
          <w:szCs w:val="24"/>
        </w:rPr>
        <w:t xml:space="preserve"> entities </w:t>
      </w:r>
      <w:r w:rsidR="005D06CF">
        <w:rPr>
          <w:rFonts w:eastAsia="Times New Roman"/>
          <w:szCs w:val="24"/>
        </w:rPr>
        <w:t>w</w:t>
      </w:r>
      <w:r w:rsidR="00226288" w:rsidRPr="00226288">
        <w:rPr>
          <w:rFonts w:eastAsia="Times New Roman"/>
          <w:szCs w:val="24"/>
        </w:rPr>
        <w:t>ould b</w:t>
      </w:r>
      <w:r w:rsidR="00FE7ED2">
        <w:rPr>
          <w:rFonts w:eastAsia="Times New Roman"/>
          <w:szCs w:val="24"/>
        </w:rPr>
        <w:t xml:space="preserve">e </w:t>
      </w:r>
      <w:r w:rsidR="00226288" w:rsidRPr="00226288">
        <w:rPr>
          <w:rFonts w:eastAsia="Times New Roman"/>
          <w:szCs w:val="24"/>
        </w:rPr>
        <w:t xml:space="preserve">partners in the provision of regional services, with each contributing in accordance with their respective demographic and tax bases. </w:t>
      </w:r>
    </w:p>
    <w:p w14:paraId="6EEB54B6" w14:textId="52C84AFE" w:rsidR="00CB2BDF" w:rsidRDefault="00226288" w:rsidP="003C35B0">
      <w:pPr>
        <w:jc w:val="both"/>
        <w:rPr>
          <w:rFonts w:eastAsia="Times New Roman"/>
          <w:szCs w:val="24"/>
        </w:rPr>
      </w:pPr>
      <w:r w:rsidRPr="00226288">
        <w:rPr>
          <w:rFonts w:eastAsia="Times New Roman"/>
          <w:szCs w:val="24"/>
        </w:rPr>
        <w:t xml:space="preserve">While this region is far too large to be incorporated into a single municipality, the populations nonetheless have a great deal of shared experiences and challenges. </w:t>
      </w:r>
      <w:r w:rsidR="003A22CB">
        <w:rPr>
          <w:rFonts w:eastAsia="Times New Roman"/>
          <w:szCs w:val="24"/>
        </w:rPr>
        <w:t xml:space="preserve">The plurality of commuters </w:t>
      </w:r>
      <w:r w:rsidR="00351E9F">
        <w:rPr>
          <w:rFonts w:eastAsia="Times New Roman"/>
          <w:szCs w:val="24"/>
        </w:rPr>
        <w:t xml:space="preserve">in RSD 6 travel outside of their own community each day but </w:t>
      </w:r>
      <w:r w:rsidR="00795A3D">
        <w:rPr>
          <w:rFonts w:eastAsia="Times New Roman"/>
          <w:szCs w:val="24"/>
        </w:rPr>
        <w:t xml:space="preserve">remain within Kent county. These commuter </w:t>
      </w:r>
      <w:proofErr w:type="spellStart"/>
      <w:r w:rsidR="00795A3D">
        <w:rPr>
          <w:rFonts w:eastAsia="Times New Roman"/>
          <w:szCs w:val="24"/>
        </w:rPr>
        <w:t>behaviours</w:t>
      </w:r>
      <w:proofErr w:type="spellEnd"/>
      <w:r w:rsidR="00795A3D">
        <w:rPr>
          <w:rFonts w:eastAsia="Times New Roman"/>
          <w:szCs w:val="24"/>
        </w:rPr>
        <w:t xml:space="preserve"> are an indication of the pre-existing </w:t>
      </w:r>
      <w:r w:rsidR="00610DF2">
        <w:rPr>
          <w:rFonts w:eastAsia="Times New Roman"/>
          <w:szCs w:val="24"/>
        </w:rPr>
        <w:t>economic interdependence</w:t>
      </w:r>
      <w:r w:rsidR="004737AE">
        <w:rPr>
          <w:rFonts w:eastAsia="Times New Roman"/>
          <w:szCs w:val="24"/>
        </w:rPr>
        <w:t xml:space="preserve"> in the region. However, </w:t>
      </w:r>
      <w:r w:rsidR="00DA27A1">
        <w:rPr>
          <w:rFonts w:eastAsia="Times New Roman"/>
          <w:szCs w:val="24"/>
        </w:rPr>
        <w:t xml:space="preserve">unlike most other RSDs, </w:t>
      </w:r>
      <w:r w:rsidR="00CB2BDF">
        <w:rPr>
          <w:rFonts w:eastAsia="Times New Roman"/>
          <w:szCs w:val="24"/>
        </w:rPr>
        <w:t xml:space="preserve">RSD 6 has a comparable </w:t>
      </w:r>
      <w:proofErr w:type="gramStart"/>
      <w:r w:rsidR="00CB2BDF">
        <w:rPr>
          <w:rFonts w:eastAsia="Times New Roman"/>
          <w:szCs w:val="24"/>
        </w:rPr>
        <w:t>amount</w:t>
      </w:r>
      <w:proofErr w:type="gramEnd"/>
      <w:r w:rsidR="00CB2BDF">
        <w:rPr>
          <w:rFonts w:eastAsia="Times New Roman"/>
          <w:szCs w:val="24"/>
        </w:rPr>
        <w:t xml:space="preserve"> of commuters who leave the RSD</w:t>
      </w:r>
      <w:r w:rsidR="00CF2D86">
        <w:rPr>
          <w:rFonts w:eastAsia="Times New Roman"/>
          <w:szCs w:val="24"/>
        </w:rPr>
        <w:t xml:space="preserve"> </w:t>
      </w:r>
      <w:r w:rsidR="00E601C4">
        <w:rPr>
          <w:rFonts w:eastAsia="Times New Roman"/>
          <w:szCs w:val="24"/>
        </w:rPr>
        <w:t xml:space="preserve">and remain within the RSD. </w:t>
      </w:r>
      <w:r w:rsidR="00901B98">
        <w:rPr>
          <w:rFonts w:eastAsia="Times New Roman"/>
          <w:szCs w:val="24"/>
        </w:rPr>
        <w:t>T</w:t>
      </w:r>
      <w:r w:rsidR="00DA4D4A">
        <w:rPr>
          <w:rFonts w:eastAsia="Times New Roman"/>
          <w:szCs w:val="24"/>
        </w:rPr>
        <w:t xml:space="preserve">his disparity is attributable to </w:t>
      </w:r>
      <w:r w:rsidR="002F14AF">
        <w:rPr>
          <w:rFonts w:eastAsia="Times New Roman"/>
          <w:szCs w:val="24"/>
        </w:rPr>
        <w:t xml:space="preserve">RSD 6’s proximity to the greater </w:t>
      </w:r>
      <w:r w:rsidR="002F14AF">
        <w:rPr>
          <w:rFonts w:eastAsia="Times New Roman"/>
          <w:szCs w:val="24"/>
        </w:rPr>
        <w:lastRenderedPageBreak/>
        <w:t>Moncton area</w:t>
      </w:r>
      <w:r w:rsidR="00D25D98">
        <w:rPr>
          <w:rFonts w:eastAsia="Times New Roman"/>
          <w:szCs w:val="24"/>
        </w:rPr>
        <w:t xml:space="preserve">. Entity 25 </w:t>
      </w:r>
      <w:proofErr w:type="gramStart"/>
      <w:r w:rsidR="00D25D98">
        <w:rPr>
          <w:rFonts w:eastAsia="Times New Roman"/>
          <w:szCs w:val="24"/>
        </w:rPr>
        <w:t>in particular which</w:t>
      </w:r>
      <w:proofErr w:type="gramEnd"/>
      <w:r w:rsidR="00D25D98">
        <w:rPr>
          <w:rFonts w:eastAsia="Times New Roman"/>
          <w:szCs w:val="24"/>
        </w:rPr>
        <w:t xml:space="preserve"> does include a portion of the Moncton LSD has the highest proportion of commuters who leave Kent county and RSD 6 on their daily commute. </w:t>
      </w:r>
      <w:r w:rsidR="0024155A">
        <w:rPr>
          <w:rFonts w:eastAsia="Times New Roman"/>
          <w:szCs w:val="24"/>
        </w:rPr>
        <w:t xml:space="preserve">Though the narrow </w:t>
      </w:r>
      <w:r w:rsidR="008C669D">
        <w:rPr>
          <w:rFonts w:eastAsia="Times New Roman"/>
          <w:szCs w:val="24"/>
        </w:rPr>
        <w:t xml:space="preserve">plurality is not ideal, the </w:t>
      </w:r>
      <w:r w:rsidR="006F7B5F">
        <w:rPr>
          <w:rFonts w:eastAsia="Times New Roman"/>
          <w:szCs w:val="24"/>
        </w:rPr>
        <w:t xml:space="preserve">region would still </w:t>
      </w:r>
      <w:r w:rsidR="00570CC4">
        <w:rPr>
          <w:rFonts w:eastAsia="Times New Roman"/>
          <w:szCs w:val="24"/>
        </w:rPr>
        <w:t>benefit</w:t>
      </w:r>
      <w:r w:rsidR="006F7B5F">
        <w:rPr>
          <w:rFonts w:eastAsia="Times New Roman"/>
          <w:szCs w:val="24"/>
        </w:rPr>
        <w:t xml:space="preserve"> from collective economic planning and service provision. </w:t>
      </w:r>
    </w:p>
    <w:p w14:paraId="7BEFB9DD" w14:textId="780BCCA5" w:rsidR="00226288" w:rsidRPr="00226288" w:rsidRDefault="0055074D" w:rsidP="003C35B0">
      <w:pPr>
        <w:jc w:val="both"/>
        <w:rPr>
          <w:rFonts w:eastAsia="Times New Roman"/>
          <w:szCs w:val="24"/>
        </w:rPr>
      </w:pPr>
      <w:r>
        <w:rPr>
          <w:rFonts w:eastAsia="Times New Roman"/>
          <w:szCs w:val="24"/>
        </w:rPr>
        <w:t xml:space="preserve">By </w:t>
      </w:r>
      <w:r w:rsidR="004E40A6">
        <w:rPr>
          <w:rFonts w:eastAsia="Times New Roman"/>
          <w:szCs w:val="24"/>
        </w:rPr>
        <w:t>better enabling municipalities to provide the services their citizens require through cooperation in service provision, t</w:t>
      </w:r>
      <w:r w:rsidR="00226288"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3C35B0">
      <w:pPr>
        <w:jc w:val="both"/>
        <w:rPr>
          <w:rFonts w:eastAsia="Times New Roman"/>
          <w:b/>
          <w:bCs/>
          <w:szCs w:val="24"/>
        </w:rPr>
      </w:pPr>
      <w:r w:rsidRPr="00226288">
        <w:rPr>
          <w:rFonts w:eastAsia="Times New Roman"/>
          <w:b/>
          <w:bCs/>
          <w:szCs w:val="24"/>
        </w:rPr>
        <w:t>Summation</w:t>
      </w:r>
    </w:p>
    <w:p w14:paraId="24EDF67D" w14:textId="7BD21593" w:rsidR="00226288" w:rsidRPr="00226288" w:rsidRDefault="00226288" w:rsidP="003C35B0">
      <w:pPr>
        <w:jc w:val="both"/>
        <w:rPr>
          <w:rFonts w:eastAsia="Times New Roman"/>
          <w:szCs w:val="24"/>
        </w:rPr>
      </w:pPr>
      <w:r w:rsidRPr="00226288">
        <w:rPr>
          <w:rFonts w:eastAsia="Times New Roman"/>
          <w:szCs w:val="24"/>
        </w:rPr>
        <w:t xml:space="preserve">Overall, </w:t>
      </w:r>
      <w:r w:rsidR="009F5BA0">
        <w:rPr>
          <w:rFonts w:eastAsia="Times New Roman"/>
          <w:szCs w:val="24"/>
        </w:rPr>
        <w:t>Entity 25</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9CCE8" w14:textId="77777777" w:rsidR="00B9235F" w:rsidRDefault="00B9235F" w:rsidP="00533253">
      <w:pPr>
        <w:spacing w:after="0" w:line="240" w:lineRule="auto"/>
      </w:pPr>
      <w:r>
        <w:separator/>
      </w:r>
    </w:p>
  </w:endnote>
  <w:endnote w:type="continuationSeparator" w:id="0">
    <w:p w14:paraId="613A8E91" w14:textId="77777777" w:rsidR="00B9235F" w:rsidRDefault="00B9235F" w:rsidP="00533253">
      <w:pPr>
        <w:spacing w:after="0" w:line="240" w:lineRule="auto"/>
      </w:pPr>
      <w:r>
        <w:continuationSeparator/>
      </w:r>
    </w:p>
  </w:endnote>
  <w:endnote w:type="continuationNotice" w:id="1">
    <w:p w14:paraId="1DE4EB34" w14:textId="77777777" w:rsidR="00B9235F" w:rsidRDefault="00B923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8B6D7" w14:textId="77777777" w:rsidR="00B9235F" w:rsidRDefault="00B9235F" w:rsidP="00533253">
      <w:pPr>
        <w:spacing w:after="0" w:line="240" w:lineRule="auto"/>
      </w:pPr>
      <w:r>
        <w:separator/>
      </w:r>
    </w:p>
  </w:footnote>
  <w:footnote w:type="continuationSeparator" w:id="0">
    <w:p w14:paraId="70753D55" w14:textId="77777777" w:rsidR="00B9235F" w:rsidRDefault="00B9235F" w:rsidP="00533253">
      <w:pPr>
        <w:spacing w:after="0" w:line="240" w:lineRule="auto"/>
      </w:pPr>
      <w:r>
        <w:continuationSeparator/>
      </w:r>
    </w:p>
  </w:footnote>
  <w:footnote w:type="continuationNotice" w:id="1">
    <w:p w14:paraId="207F7CF8" w14:textId="77777777" w:rsidR="00B9235F" w:rsidRDefault="00B9235F">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46C"/>
    <w:rsid w:val="00007593"/>
    <w:rsid w:val="00007AEF"/>
    <w:rsid w:val="00011EC1"/>
    <w:rsid w:val="00015BE1"/>
    <w:rsid w:val="00022DE1"/>
    <w:rsid w:val="000238B0"/>
    <w:rsid w:val="00024CFD"/>
    <w:rsid w:val="000259AF"/>
    <w:rsid w:val="00025F29"/>
    <w:rsid w:val="00031BC5"/>
    <w:rsid w:val="000356BA"/>
    <w:rsid w:val="000361EA"/>
    <w:rsid w:val="000366A7"/>
    <w:rsid w:val="00037D03"/>
    <w:rsid w:val="0004189C"/>
    <w:rsid w:val="000467DA"/>
    <w:rsid w:val="00050419"/>
    <w:rsid w:val="000521C5"/>
    <w:rsid w:val="00052990"/>
    <w:rsid w:val="00054665"/>
    <w:rsid w:val="0005610E"/>
    <w:rsid w:val="00056919"/>
    <w:rsid w:val="00061B5D"/>
    <w:rsid w:val="00062C5C"/>
    <w:rsid w:val="0006709B"/>
    <w:rsid w:val="0007121F"/>
    <w:rsid w:val="000726CD"/>
    <w:rsid w:val="0007315E"/>
    <w:rsid w:val="00074531"/>
    <w:rsid w:val="000778C0"/>
    <w:rsid w:val="000804BC"/>
    <w:rsid w:val="00081AC4"/>
    <w:rsid w:val="000832B3"/>
    <w:rsid w:val="0008735F"/>
    <w:rsid w:val="00091112"/>
    <w:rsid w:val="000947F5"/>
    <w:rsid w:val="0009529B"/>
    <w:rsid w:val="000A372D"/>
    <w:rsid w:val="000A4303"/>
    <w:rsid w:val="000A4D7C"/>
    <w:rsid w:val="000A6251"/>
    <w:rsid w:val="000B16FF"/>
    <w:rsid w:val="000B2384"/>
    <w:rsid w:val="000B2468"/>
    <w:rsid w:val="000B3B59"/>
    <w:rsid w:val="000B52E6"/>
    <w:rsid w:val="000B543A"/>
    <w:rsid w:val="000C0824"/>
    <w:rsid w:val="000C3008"/>
    <w:rsid w:val="000C30F7"/>
    <w:rsid w:val="000C33C7"/>
    <w:rsid w:val="000C483C"/>
    <w:rsid w:val="000D0004"/>
    <w:rsid w:val="000D0C37"/>
    <w:rsid w:val="000D539E"/>
    <w:rsid w:val="000D7B94"/>
    <w:rsid w:val="000D7F02"/>
    <w:rsid w:val="000E0371"/>
    <w:rsid w:val="000E0B96"/>
    <w:rsid w:val="000F062C"/>
    <w:rsid w:val="000F56D9"/>
    <w:rsid w:val="000F5759"/>
    <w:rsid w:val="000F5A77"/>
    <w:rsid w:val="000F737F"/>
    <w:rsid w:val="000F7938"/>
    <w:rsid w:val="0010084F"/>
    <w:rsid w:val="001010F7"/>
    <w:rsid w:val="00101D9B"/>
    <w:rsid w:val="00102CB7"/>
    <w:rsid w:val="0010518B"/>
    <w:rsid w:val="0010753B"/>
    <w:rsid w:val="00111E79"/>
    <w:rsid w:val="001120C5"/>
    <w:rsid w:val="001217B8"/>
    <w:rsid w:val="0012393A"/>
    <w:rsid w:val="001333B6"/>
    <w:rsid w:val="00134A12"/>
    <w:rsid w:val="00134CB1"/>
    <w:rsid w:val="0013553C"/>
    <w:rsid w:val="0013603A"/>
    <w:rsid w:val="00136F8C"/>
    <w:rsid w:val="00143193"/>
    <w:rsid w:val="001434FE"/>
    <w:rsid w:val="00144572"/>
    <w:rsid w:val="00147376"/>
    <w:rsid w:val="0015194D"/>
    <w:rsid w:val="00156AEF"/>
    <w:rsid w:val="001577D4"/>
    <w:rsid w:val="001618D5"/>
    <w:rsid w:val="00163993"/>
    <w:rsid w:val="001640B8"/>
    <w:rsid w:val="001713C5"/>
    <w:rsid w:val="00171BE4"/>
    <w:rsid w:val="00172214"/>
    <w:rsid w:val="00181A0E"/>
    <w:rsid w:val="00182F1D"/>
    <w:rsid w:val="00183857"/>
    <w:rsid w:val="00190B92"/>
    <w:rsid w:val="00191519"/>
    <w:rsid w:val="00194CEE"/>
    <w:rsid w:val="00195492"/>
    <w:rsid w:val="001961F9"/>
    <w:rsid w:val="001A0135"/>
    <w:rsid w:val="001A4616"/>
    <w:rsid w:val="001A4A6F"/>
    <w:rsid w:val="001A5EB0"/>
    <w:rsid w:val="001B0FF6"/>
    <w:rsid w:val="001B197B"/>
    <w:rsid w:val="001B2623"/>
    <w:rsid w:val="001B4F0F"/>
    <w:rsid w:val="001B4F70"/>
    <w:rsid w:val="001C2040"/>
    <w:rsid w:val="001C359A"/>
    <w:rsid w:val="001C38B6"/>
    <w:rsid w:val="001D00C9"/>
    <w:rsid w:val="001D2F8A"/>
    <w:rsid w:val="001D5074"/>
    <w:rsid w:val="001D6C80"/>
    <w:rsid w:val="001F1E7F"/>
    <w:rsid w:val="001F29E6"/>
    <w:rsid w:val="001F35C3"/>
    <w:rsid w:val="001F4CD6"/>
    <w:rsid w:val="001F57F4"/>
    <w:rsid w:val="001F6F3C"/>
    <w:rsid w:val="001F74EA"/>
    <w:rsid w:val="001F7C93"/>
    <w:rsid w:val="00200EE0"/>
    <w:rsid w:val="002025E6"/>
    <w:rsid w:val="00203CFE"/>
    <w:rsid w:val="00205CFB"/>
    <w:rsid w:val="002120AC"/>
    <w:rsid w:val="0021316D"/>
    <w:rsid w:val="00214405"/>
    <w:rsid w:val="00215178"/>
    <w:rsid w:val="00217690"/>
    <w:rsid w:val="00217691"/>
    <w:rsid w:val="0021795F"/>
    <w:rsid w:val="00224499"/>
    <w:rsid w:val="00226288"/>
    <w:rsid w:val="002271ED"/>
    <w:rsid w:val="00231AA9"/>
    <w:rsid w:val="0023219F"/>
    <w:rsid w:val="002325B6"/>
    <w:rsid w:val="0023283B"/>
    <w:rsid w:val="00234603"/>
    <w:rsid w:val="00234790"/>
    <w:rsid w:val="00236721"/>
    <w:rsid w:val="00240283"/>
    <w:rsid w:val="0024155A"/>
    <w:rsid w:val="00242CFD"/>
    <w:rsid w:val="00246CF0"/>
    <w:rsid w:val="00247692"/>
    <w:rsid w:val="00255EFF"/>
    <w:rsid w:val="0025631E"/>
    <w:rsid w:val="0026319F"/>
    <w:rsid w:val="00263EA3"/>
    <w:rsid w:val="00264855"/>
    <w:rsid w:val="00265C6F"/>
    <w:rsid w:val="00267321"/>
    <w:rsid w:val="00267D9E"/>
    <w:rsid w:val="0027002D"/>
    <w:rsid w:val="0027093A"/>
    <w:rsid w:val="00273118"/>
    <w:rsid w:val="00275F78"/>
    <w:rsid w:val="002821E2"/>
    <w:rsid w:val="00282A5E"/>
    <w:rsid w:val="0028389A"/>
    <w:rsid w:val="00284076"/>
    <w:rsid w:val="00286D97"/>
    <w:rsid w:val="0028792A"/>
    <w:rsid w:val="00290DE5"/>
    <w:rsid w:val="00291052"/>
    <w:rsid w:val="00292553"/>
    <w:rsid w:val="00293FAE"/>
    <w:rsid w:val="00294052"/>
    <w:rsid w:val="00294E20"/>
    <w:rsid w:val="00295D44"/>
    <w:rsid w:val="00296040"/>
    <w:rsid w:val="00297AC6"/>
    <w:rsid w:val="002A5FBA"/>
    <w:rsid w:val="002A769B"/>
    <w:rsid w:val="002B165A"/>
    <w:rsid w:val="002B3451"/>
    <w:rsid w:val="002B6EB3"/>
    <w:rsid w:val="002B7188"/>
    <w:rsid w:val="002B7BBD"/>
    <w:rsid w:val="002C3552"/>
    <w:rsid w:val="002C48FE"/>
    <w:rsid w:val="002C5E16"/>
    <w:rsid w:val="002C6BEA"/>
    <w:rsid w:val="002D4526"/>
    <w:rsid w:val="002E0EF6"/>
    <w:rsid w:val="002E58B1"/>
    <w:rsid w:val="002F043D"/>
    <w:rsid w:val="002F14AF"/>
    <w:rsid w:val="002F2119"/>
    <w:rsid w:val="002F4093"/>
    <w:rsid w:val="002F42D3"/>
    <w:rsid w:val="002F6043"/>
    <w:rsid w:val="002F62E8"/>
    <w:rsid w:val="002F6FA4"/>
    <w:rsid w:val="003002B5"/>
    <w:rsid w:val="003011C3"/>
    <w:rsid w:val="0030415E"/>
    <w:rsid w:val="003055AC"/>
    <w:rsid w:val="00307880"/>
    <w:rsid w:val="00312A25"/>
    <w:rsid w:val="00313389"/>
    <w:rsid w:val="003152BF"/>
    <w:rsid w:val="003157B4"/>
    <w:rsid w:val="0031663B"/>
    <w:rsid w:val="00317DEF"/>
    <w:rsid w:val="003219CB"/>
    <w:rsid w:val="0032204E"/>
    <w:rsid w:val="0032259E"/>
    <w:rsid w:val="00326D5B"/>
    <w:rsid w:val="00331342"/>
    <w:rsid w:val="00333276"/>
    <w:rsid w:val="003358D7"/>
    <w:rsid w:val="00340E57"/>
    <w:rsid w:val="00342506"/>
    <w:rsid w:val="00343F5F"/>
    <w:rsid w:val="00344A46"/>
    <w:rsid w:val="003459DA"/>
    <w:rsid w:val="00351E9F"/>
    <w:rsid w:val="00351F4C"/>
    <w:rsid w:val="00354F92"/>
    <w:rsid w:val="00365826"/>
    <w:rsid w:val="00365E92"/>
    <w:rsid w:val="0036789A"/>
    <w:rsid w:val="003707D4"/>
    <w:rsid w:val="0037091E"/>
    <w:rsid w:val="00375326"/>
    <w:rsid w:val="003753C3"/>
    <w:rsid w:val="0037703C"/>
    <w:rsid w:val="00377EAB"/>
    <w:rsid w:val="00380BF5"/>
    <w:rsid w:val="00383314"/>
    <w:rsid w:val="0038365B"/>
    <w:rsid w:val="00385AF5"/>
    <w:rsid w:val="00386C93"/>
    <w:rsid w:val="003975CE"/>
    <w:rsid w:val="003A22CB"/>
    <w:rsid w:val="003A2E7D"/>
    <w:rsid w:val="003A431A"/>
    <w:rsid w:val="003A4C02"/>
    <w:rsid w:val="003B108F"/>
    <w:rsid w:val="003B18DC"/>
    <w:rsid w:val="003B1FCD"/>
    <w:rsid w:val="003B2A08"/>
    <w:rsid w:val="003B3F3D"/>
    <w:rsid w:val="003B448F"/>
    <w:rsid w:val="003C2229"/>
    <w:rsid w:val="003C2DA4"/>
    <w:rsid w:val="003C35B0"/>
    <w:rsid w:val="003C3DFA"/>
    <w:rsid w:val="003C47BF"/>
    <w:rsid w:val="003D3F4B"/>
    <w:rsid w:val="003D69F7"/>
    <w:rsid w:val="003D7C66"/>
    <w:rsid w:val="003E1657"/>
    <w:rsid w:val="003E31DA"/>
    <w:rsid w:val="003E381F"/>
    <w:rsid w:val="003E41B8"/>
    <w:rsid w:val="003F2CF4"/>
    <w:rsid w:val="003F6376"/>
    <w:rsid w:val="003F78B1"/>
    <w:rsid w:val="003F7C1D"/>
    <w:rsid w:val="0040016D"/>
    <w:rsid w:val="00400690"/>
    <w:rsid w:val="0040747F"/>
    <w:rsid w:val="004101BE"/>
    <w:rsid w:val="0041088B"/>
    <w:rsid w:val="00410A7C"/>
    <w:rsid w:val="00413C87"/>
    <w:rsid w:val="0041579F"/>
    <w:rsid w:val="00416A76"/>
    <w:rsid w:val="00417517"/>
    <w:rsid w:val="00417737"/>
    <w:rsid w:val="00417F02"/>
    <w:rsid w:val="00420653"/>
    <w:rsid w:val="00422423"/>
    <w:rsid w:val="00426356"/>
    <w:rsid w:val="00426F12"/>
    <w:rsid w:val="00431726"/>
    <w:rsid w:val="00431ACD"/>
    <w:rsid w:val="00433159"/>
    <w:rsid w:val="00434F1E"/>
    <w:rsid w:val="00435355"/>
    <w:rsid w:val="004357F8"/>
    <w:rsid w:val="004358AB"/>
    <w:rsid w:val="00435B15"/>
    <w:rsid w:val="00436353"/>
    <w:rsid w:val="00441FE2"/>
    <w:rsid w:val="004443C2"/>
    <w:rsid w:val="00444A9C"/>
    <w:rsid w:val="00447790"/>
    <w:rsid w:val="0045109F"/>
    <w:rsid w:val="0045117A"/>
    <w:rsid w:val="00452AB5"/>
    <w:rsid w:val="00454A94"/>
    <w:rsid w:val="00456C6D"/>
    <w:rsid w:val="004570D0"/>
    <w:rsid w:val="004576A5"/>
    <w:rsid w:val="00462652"/>
    <w:rsid w:val="004652CF"/>
    <w:rsid w:val="00465B33"/>
    <w:rsid w:val="00465B44"/>
    <w:rsid w:val="0047091C"/>
    <w:rsid w:val="00470C92"/>
    <w:rsid w:val="004711F9"/>
    <w:rsid w:val="0047285E"/>
    <w:rsid w:val="004737AE"/>
    <w:rsid w:val="00473BB6"/>
    <w:rsid w:val="00475BEB"/>
    <w:rsid w:val="00476544"/>
    <w:rsid w:val="004803CE"/>
    <w:rsid w:val="00482DBE"/>
    <w:rsid w:val="004832BE"/>
    <w:rsid w:val="00492DEB"/>
    <w:rsid w:val="004957E7"/>
    <w:rsid w:val="00495953"/>
    <w:rsid w:val="00495F46"/>
    <w:rsid w:val="00497B75"/>
    <w:rsid w:val="004A01EF"/>
    <w:rsid w:val="004A420D"/>
    <w:rsid w:val="004A5C47"/>
    <w:rsid w:val="004B09FE"/>
    <w:rsid w:val="004B0AC7"/>
    <w:rsid w:val="004B0C32"/>
    <w:rsid w:val="004B2B8C"/>
    <w:rsid w:val="004B3483"/>
    <w:rsid w:val="004B618F"/>
    <w:rsid w:val="004B6A9C"/>
    <w:rsid w:val="004B75B8"/>
    <w:rsid w:val="004C2705"/>
    <w:rsid w:val="004C2B8E"/>
    <w:rsid w:val="004C36B5"/>
    <w:rsid w:val="004C7794"/>
    <w:rsid w:val="004D1279"/>
    <w:rsid w:val="004D2B15"/>
    <w:rsid w:val="004D2B1B"/>
    <w:rsid w:val="004D3EFB"/>
    <w:rsid w:val="004D50FF"/>
    <w:rsid w:val="004D57D8"/>
    <w:rsid w:val="004D73FC"/>
    <w:rsid w:val="004D7C08"/>
    <w:rsid w:val="004E08B0"/>
    <w:rsid w:val="004E40A6"/>
    <w:rsid w:val="004E41E0"/>
    <w:rsid w:val="004E4F6D"/>
    <w:rsid w:val="004E778B"/>
    <w:rsid w:val="004E7E7A"/>
    <w:rsid w:val="004F155E"/>
    <w:rsid w:val="004F18A7"/>
    <w:rsid w:val="004F5875"/>
    <w:rsid w:val="004F61D7"/>
    <w:rsid w:val="004F6565"/>
    <w:rsid w:val="004F7378"/>
    <w:rsid w:val="00503949"/>
    <w:rsid w:val="00503E48"/>
    <w:rsid w:val="005059B1"/>
    <w:rsid w:val="00510189"/>
    <w:rsid w:val="005219AD"/>
    <w:rsid w:val="00521FC4"/>
    <w:rsid w:val="005238F9"/>
    <w:rsid w:val="00523BD5"/>
    <w:rsid w:val="005262CC"/>
    <w:rsid w:val="0052684C"/>
    <w:rsid w:val="00526874"/>
    <w:rsid w:val="00527613"/>
    <w:rsid w:val="00532617"/>
    <w:rsid w:val="00533253"/>
    <w:rsid w:val="005335FD"/>
    <w:rsid w:val="005336CE"/>
    <w:rsid w:val="00533916"/>
    <w:rsid w:val="00536AD2"/>
    <w:rsid w:val="00540C77"/>
    <w:rsid w:val="00542F95"/>
    <w:rsid w:val="00544386"/>
    <w:rsid w:val="00544F68"/>
    <w:rsid w:val="0055074D"/>
    <w:rsid w:val="00552C7D"/>
    <w:rsid w:val="00553C6E"/>
    <w:rsid w:val="0055643F"/>
    <w:rsid w:val="00557F80"/>
    <w:rsid w:val="00560445"/>
    <w:rsid w:val="0056335E"/>
    <w:rsid w:val="00563B0B"/>
    <w:rsid w:val="00564E02"/>
    <w:rsid w:val="00566246"/>
    <w:rsid w:val="00567A28"/>
    <w:rsid w:val="00570CC4"/>
    <w:rsid w:val="00572114"/>
    <w:rsid w:val="00572201"/>
    <w:rsid w:val="005724E0"/>
    <w:rsid w:val="005728FA"/>
    <w:rsid w:val="00574682"/>
    <w:rsid w:val="005757F8"/>
    <w:rsid w:val="00576659"/>
    <w:rsid w:val="0058123A"/>
    <w:rsid w:val="0058183A"/>
    <w:rsid w:val="00581F15"/>
    <w:rsid w:val="0058723C"/>
    <w:rsid w:val="00587D02"/>
    <w:rsid w:val="00587F97"/>
    <w:rsid w:val="00593BF0"/>
    <w:rsid w:val="00594EC5"/>
    <w:rsid w:val="005A2167"/>
    <w:rsid w:val="005A2255"/>
    <w:rsid w:val="005A324E"/>
    <w:rsid w:val="005A7B37"/>
    <w:rsid w:val="005B0633"/>
    <w:rsid w:val="005B0918"/>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4673"/>
    <w:rsid w:val="005E55E4"/>
    <w:rsid w:val="005F0E8C"/>
    <w:rsid w:val="005F10A1"/>
    <w:rsid w:val="005F24A5"/>
    <w:rsid w:val="005F3CDF"/>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632A"/>
    <w:rsid w:val="006233C2"/>
    <w:rsid w:val="00623F93"/>
    <w:rsid w:val="00624FDC"/>
    <w:rsid w:val="00625C6E"/>
    <w:rsid w:val="00626347"/>
    <w:rsid w:val="00630892"/>
    <w:rsid w:val="00631D13"/>
    <w:rsid w:val="00635CB1"/>
    <w:rsid w:val="006406FC"/>
    <w:rsid w:val="00641FCF"/>
    <w:rsid w:val="006437C2"/>
    <w:rsid w:val="0064551D"/>
    <w:rsid w:val="00647E20"/>
    <w:rsid w:val="00652643"/>
    <w:rsid w:val="006551B6"/>
    <w:rsid w:val="006635AB"/>
    <w:rsid w:val="00663713"/>
    <w:rsid w:val="006666D0"/>
    <w:rsid w:val="00670E6D"/>
    <w:rsid w:val="00671D38"/>
    <w:rsid w:val="006736F1"/>
    <w:rsid w:val="00673A59"/>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C5C01"/>
    <w:rsid w:val="006C6FD9"/>
    <w:rsid w:val="006C719D"/>
    <w:rsid w:val="006D06E8"/>
    <w:rsid w:val="006D6A15"/>
    <w:rsid w:val="006E1370"/>
    <w:rsid w:val="006E13F5"/>
    <w:rsid w:val="006E18B2"/>
    <w:rsid w:val="006E3460"/>
    <w:rsid w:val="006F1B6E"/>
    <w:rsid w:val="006F202E"/>
    <w:rsid w:val="006F51A6"/>
    <w:rsid w:val="006F5401"/>
    <w:rsid w:val="006F7B5F"/>
    <w:rsid w:val="006F7DA1"/>
    <w:rsid w:val="00705490"/>
    <w:rsid w:val="00706C79"/>
    <w:rsid w:val="00706E1B"/>
    <w:rsid w:val="007117E8"/>
    <w:rsid w:val="00714BE0"/>
    <w:rsid w:val="00715B3D"/>
    <w:rsid w:val="007160C8"/>
    <w:rsid w:val="0072135F"/>
    <w:rsid w:val="007218E7"/>
    <w:rsid w:val="00722628"/>
    <w:rsid w:val="00722C51"/>
    <w:rsid w:val="0072646B"/>
    <w:rsid w:val="007266D3"/>
    <w:rsid w:val="00732773"/>
    <w:rsid w:val="00733139"/>
    <w:rsid w:val="00734B3F"/>
    <w:rsid w:val="00737C46"/>
    <w:rsid w:val="00740251"/>
    <w:rsid w:val="00742AD8"/>
    <w:rsid w:val="007540B3"/>
    <w:rsid w:val="0075617E"/>
    <w:rsid w:val="00756739"/>
    <w:rsid w:val="007612BE"/>
    <w:rsid w:val="0076188A"/>
    <w:rsid w:val="00761CCB"/>
    <w:rsid w:val="00762C21"/>
    <w:rsid w:val="00765957"/>
    <w:rsid w:val="00767704"/>
    <w:rsid w:val="00770EF9"/>
    <w:rsid w:val="00772156"/>
    <w:rsid w:val="00774628"/>
    <w:rsid w:val="007767E0"/>
    <w:rsid w:val="007830AE"/>
    <w:rsid w:val="00784B4D"/>
    <w:rsid w:val="00785762"/>
    <w:rsid w:val="007864C8"/>
    <w:rsid w:val="007870B9"/>
    <w:rsid w:val="0079085C"/>
    <w:rsid w:val="00790F0F"/>
    <w:rsid w:val="00792472"/>
    <w:rsid w:val="007927BA"/>
    <w:rsid w:val="00794AB4"/>
    <w:rsid w:val="00795A3D"/>
    <w:rsid w:val="007A020D"/>
    <w:rsid w:val="007A6BD4"/>
    <w:rsid w:val="007B3B1E"/>
    <w:rsid w:val="007C0872"/>
    <w:rsid w:val="007C1C58"/>
    <w:rsid w:val="007C3850"/>
    <w:rsid w:val="007C3C5E"/>
    <w:rsid w:val="007C79CD"/>
    <w:rsid w:val="007D145D"/>
    <w:rsid w:val="007D42D4"/>
    <w:rsid w:val="007E0F92"/>
    <w:rsid w:val="007E140A"/>
    <w:rsid w:val="007E536B"/>
    <w:rsid w:val="007E5CE4"/>
    <w:rsid w:val="007E742D"/>
    <w:rsid w:val="007E744A"/>
    <w:rsid w:val="007F07B0"/>
    <w:rsid w:val="007F0D36"/>
    <w:rsid w:val="007F5DC8"/>
    <w:rsid w:val="007F666E"/>
    <w:rsid w:val="0080158C"/>
    <w:rsid w:val="0080327D"/>
    <w:rsid w:val="00803E89"/>
    <w:rsid w:val="00812B97"/>
    <w:rsid w:val="0081353E"/>
    <w:rsid w:val="00813AB0"/>
    <w:rsid w:val="008142A0"/>
    <w:rsid w:val="00820EEB"/>
    <w:rsid w:val="00821215"/>
    <w:rsid w:val="008219F4"/>
    <w:rsid w:val="0082340E"/>
    <w:rsid w:val="00826FF4"/>
    <w:rsid w:val="00834815"/>
    <w:rsid w:val="00835E77"/>
    <w:rsid w:val="00836415"/>
    <w:rsid w:val="008367A9"/>
    <w:rsid w:val="00840403"/>
    <w:rsid w:val="00841162"/>
    <w:rsid w:val="00842249"/>
    <w:rsid w:val="0084239C"/>
    <w:rsid w:val="008434D1"/>
    <w:rsid w:val="00852005"/>
    <w:rsid w:val="00853E3A"/>
    <w:rsid w:val="00855D67"/>
    <w:rsid w:val="0086227A"/>
    <w:rsid w:val="00862A5B"/>
    <w:rsid w:val="00866A57"/>
    <w:rsid w:val="00871BA6"/>
    <w:rsid w:val="00872051"/>
    <w:rsid w:val="00876569"/>
    <w:rsid w:val="00877A83"/>
    <w:rsid w:val="008806C2"/>
    <w:rsid w:val="00880DC2"/>
    <w:rsid w:val="00886CC5"/>
    <w:rsid w:val="00890F6D"/>
    <w:rsid w:val="00892334"/>
    <w:rsid w:val="0089636A"/>
    <w:rsid w:val="008963E5"/>
    <w:rsid w:val="00897B6E"/>
    <w:rsid w:val="008A1BD8"/>
    <w:rsid w:val="008A1EA6"/>
    <w:rsid w:val="008A3666"/>
    <w:rsid w:val="008A3772"/>
    <w:rsid w:val="008B286B"/>
    <w:rsid w:val="008B28CE"/>
    <w:rsid w:val="008B3CB3"/>
    <w:rsid w:val="008B7C9E"/>
    <w:rsid w:val="008C082C"/>
    <w:rsid w:val="008C0AE3"/>
    <w:rsid w:val="008C5776"/>
    <w:rsid w:val="008C5E9C"/>
    <w:rsid w:val="008C669D"/>
    <w:rsid w:val="008C7BA9"/>
    <w:rsid w:val="008D280E"/>
    <w:rsid w:val="008D4F96"/>
    <w:rsid w:val="008D5897"/>
    <w:rsid w:val="008D69C8"/>
    <w:rsid w:val="008D7001"/>
    <w:rsid w:val="008E30F8"/>
    <w:rsid w:val="008E5BF4"/>
    <w:rsid w:val="008F1A52"/>
    <w:rsid w:val="008F227F"/>
    <w:rsid w:val="008F3D10"/>
    <w:rsid w:val="008F429E"/>
    <w:rsid w:val="008F77A7"/>
    <w:rsid w:val="00901B98"/>
    <w:rsid w:val="00902E69"/>
    <w:rsid w:val="0090316A"/>
    <w:rsid w:val="0090440E"/>
    <w:rsid w:val="00906535"/>
    <w:rsid w:val="00907990"/>
    <w:rsid w:val="009106B0"/>
    <w:rsid w:val="00910DAD"/>
    <w:rsid w:val="009113A3"/>
    <w:rsid w:val="00914776"/>
    <w:rsid w:val="00915C3C"/>
    <w:rsid w:val="00916094"/>
    <w:rsid w:val="0092049E"/>
    <w:rsid w:val="009256B7"/>
    <w:rsid w:val="00930141"/>
    <w:rsid w:val="00930CE8"/>
    <w:rsid w:val="00937062"/>
    <w:rsid w:val="0094032D"/>
    <w:rsid w:val="009407F0"/>
    <w:rsid w:val="00943184"/>
    <w:rsid w:val="00944409"/>
    <w:rsid w:val="0095089B"/>
    <w:rsid w:val="00952609"/>
    <w:rsid w:val="009534A1"/>
    <w:rsid w:val="00964015"/>
    <w:rsid w:val="00964426"/>
    <w:rsid w:val="00970D5D"/>
    <w:rsid w:val="00973562"/>
    <w:rsid w:val="00974610"/>
    <w:rsid w:val="00975BA7"/>
    <w:rsid w:val="009779AA"/>
    <w:rsid w:val="009812B3"/>
    <w:rsid w:val="009831D8"/>
    <w:rsid w:val="00984D6A"/>
    <w:rsid w:val="00986C0D"/>
    <w:rsid w:val="0099267E"/>
    <w:rsid w:val="00992946"/>
    <w:rsid w:val="00993135"/>
    <w:rsid w:val="00993AFC"/>
    <w:rsid w:val="00995841"/>
    <w:rsid w:val="009A2CEB"/>
    <w:rsid w:val="009A3B95"/>
    <w:rsid w:val="009A458A"/>
    <w:rsid w:val="009A54EE"/>
    <w:rsid w:val="009A608F"/>
    <w:rsid w:val="009A6210"/>
    <w:rsid w:val="009B0AB2"/>
    <w:rsid w:val="009B1567"/>
    <w:rsid w:val="009B2668"/>
    <w:rsid w:val="009B353D"/>
    <w:rsid w:val="009C136B"/>
    <w:rsid w:val="009C3F94"/>
    <w:rsid w:val="009C400F"/>
    <w:rsid w:val="009C427E"/>
    <w:rsid w:val="009C4DFB"/>
    <w:rsid w:val="009C5A8A"/>
    <w:rsid w:val="009C610A"/>
    <w:rsid w:val="009C61E7"/>
    <w:rsid w:val="009C7EF9"/>
    <w:rsid w:val="009D16CF"/>
    <w:rsid w:val="009D2954"/>
    <w:rsid w:val="009D3B76"/>
    <w:rsid w:val="009D4657"/>
    <w:rsid w:val="009E008A"/>
    <w:rsid w:val="009E0814"/>
    <w:rsid w:val="009E1870"/>
    <w:rsid w:val="009E27E2"/>
    <w:rsid w:val="009E282B"/>
    <w:rsid w:val="009E34FE"/>
    <w:rsid w:val="009E5962"/>
    <w:rsid w:val="009F25C7"/>
    <w:rsid w:val="009F56DC"/>
    <w:rsid w:val="009F5BA0"/>
    <w:rsid w:val="00A00C83"/>
    <w:rsid w:val="00A02383"/>
    <w:rsid w:val="00A02439"/>
    <w:rsid w:val="00A03051"/>
    <w:rsid w:val="00A04221"/>
    <w:rsid w:val="00A20D5A"/>
    <w:rsid w:val="00A236FC"/>
    <w:rsid w:val="00A254F0"/>
    <w:rsid w:val="00A25514"/>
    <w:rsid w:val="00A25B67"/>
    <w:rsid w:val="00A26BCF"/>
    <w:rsid w:val="00A26F85"/>
    <w:rsid w:val="00A27EAA"/>
    <w:rsid w:val="00A33695"/>
    <w:rsid w:val="00A36538"/>
    <w:rsid w:val="00A41E32"/>
    <w:rsid w:val="00A4208B"/>
    <w:rsid w:val="00A45579"/>
    <w:rsid w:val="00A47131"/>
    <w:rsid w:val="00A47308"/>
    <w:rsid w:val="00A47EA2"/>
    <w:rsid w:val="00A5491E"/>
    <w:rsid w:val="00A573A7"/>
    <w:rsid w:val="00A60845"/>
    <w:rsid w:val="00A622F8"/>
    <w:rsid w:val="00A62FFB"/>
    <w:rsid w:val="00A65366"/>
    <w:rsid w:val="00A656D7"/>
    <w:rsid w:val="00A66519"/>
    <w:rsid w:val="00A731DA"/>
    <w:rsid w:val="00A735FE"/>
    <w:rsid w:val="00A76236"/>
    <w:rsid w:val="00A76976"/>
    <w:rsid w:val="00A76BD9"/>
    <w:rsid w:val="00A81ACF"/>
    <w:rsid w:val="00A8263D"/>
    <w:rsid w:val="00A82BDE"/>
    <w:rsid w:val="00A835ED"/>
    <w:rsid w:val="00A90CFD"/>
    <w:rsid w:val="00A921C7"/>
    <w:rsid w:val="00A92519"/>
    <w:rsid w:val="00A93031"/>
    <w:rsid w:val="00AA1DDD"/>
    <w:rsid w:val="00AA2F30"/>
    <w:rsid w:val="00AA5A47"/>
    <w:rsid w:val="00AA710E"/>
    <w:rsid w:val="00AB3720"/>
    <w:rsid w:val="00AB56BE"/>
    <w:rsid w:val="00AB64B7"/>
    <w:rsid w:val="00AC2526"/>
    <w:rsid w:val="00AC2A14"/>
    <w:rsid w:val="00AC341A"/>
    <w:rsid w:val="00AC5DB2"/>
    <w:rsid w:val="00AC5E81"/>
    <w:rsid w:val="00AC6306"/>
    <w:rsid w:val="00AC6B10"/>
    <w:rsid w:val="00AD1552"/>
    <w:rsid w:val="00AD2B7E"/>
    <w:rsid w:val="00AD3489"/>
    <w:rsid w:val="00AD6300"/>
    <w:rsid w:val="00AE03E4"/>
    <w:rsid w:val="00AE0EE4"/>
    <w:rsid w:val="00AE1691"/>
    <w:rsid w:val="00AE3796"/>
    <w:rsid w:val="00AE3CB9"/>
    <w:rsid w:val="00AE4608"/>
    <w:rsid w:val="00AE4C15"/>
    <w:rsid w:val="00AE6257"/>
    <w:rsid w:val="00AE7BAB"/>
    <w:rsid w:val="00AF2389"/>
    <w:rsid w:val="00AF35D4"/>
    <w:rsid w:val="00AF3C9F"/>
    <w:rsid w:val="00AF4058"/>
    <w:rsid w:val="00AF6180"/>
    <w:rsid w:val="00B00DE4"/>
    <w:rsid w:val="00B043E8"/>
    <w:rsid w:val="00B04902"/>
    <w:rsid w:val="00B04E40"/>
    <w:rsid w:val="00B04E8A"/>
    <w:rsid w:val="00B06644"/>
    <w:rsid w:val="00B125F3"/>
    <w:rsid w:val="00B13F0C"/>
    <w:rsid w:val="00B1639B"/>
    <w:rsid w:val="00B2583B"/>
    <w:rsid w:val="00B27530"/>
    <w:rsid w:val="00B27F26"/>
    <w:rsid w:val="00B34A7B"/>
    <w:rsid w:val="00B34DEA"/>
    <w:rsid w:val="00B3507E"/>
    <w:rsid w:val="00B3746E"/>
    <w:rsid w:val="00B423DA"/>
    <w:rsid w:val="00B42FA9"/>
    <w:rsid w:val="00B45303"/>
    <w:rsid w:val="00B478D5"/>
    <w:rsid w:val="00B47BAA"/>
    <w:rsid w:val="00B51104"/>
    <w:rsid w:val="00B52B2B"/>
    <w:rsid w:val="00B53197"/>
    <w:rsid w:val="00B53E52"/>
    <w:rsid w:val="00B57FE0"/>
    <w:rsid w:val="00B61A5B"/>
    <w:rsid w:val="00B6278E"/>
    <w:rsid w:val="00B72F6F"/>
    <w:rsid w:val="00B778ED"/>
    <w:rsid w:val="00B83432"/>
    <w:rsid w:val="00B86345"/>
    <w:rsid w:val="00B8661E"/>
    <w:rsid w:val="00B87C75"/>
    <w:rsid w:val="00B9087E"/>
    <w:rsid w:val="00B908A9"/>
    <w:rsid w:val="00B9235F"/>
    <w:rsid w:val="00B94F9A"/>
    <w:rsid w:val="00B95616"/>
    <w:rsid w:val="00BA10DF"/>
    <w:rsid w:val="00BA1272"/>
    <w:rsid w:val="00BA185C"/>
    <w:rsid w:val="00BA6363"/>
    <w:rsid w:val="00BA73EA"/>
    <w:rsid w:val="00BB3750"/>
    <w:rsid w:val="00BB4FFF"/>
    <w:rsid w:val="00BB70AE"/>
    <w:rsid w:val="00BC13F1"/>
    <w:rsid w:val="00BC2688"/>
    <w:rsid w:val="00BC277B"/>
    <w:rsid w:val="00BC2FFE"/>
    <w:rsid w:val="00BC5E82"/>
    <w:rsid w:val="00BD319A"/>
    <w:rsid w:val="00BE1438"/>
    <w:rsid w:val="00BE3C41"/>
    <w:rsid w:val="00BE42B4"/>
    <w:rsid w:val="00BE43FB"/>
    <w:rsid w:val="00BE4F8D"/>
    <w:rsid w:val="00BE604A"/>
    <w:rsid w:val="00BF1884"/>
    <w:rsid w:val="00BF687D"/>
    <w:rsid w:val="00BF7E3F"/>
    <w:rsid w:val="00C06DB3"/>
    <w:rsid w:val="00C132BD"/>
    <w:rsid w:val="00C1414C"/>
    <w:rsid w:val="00C16AFC"/>
    <w:rsid w:val="00C17C4A"/>
    <w:rsid w:val="00C23179"/>
    <w:rsid w:val="00C23508"/>
    <w:rsid w:val="00C24EAB"/>
    <w:rsid w:val="00C31123"/>
    <w:rsid w:val="00C311F0"/>
    <w:rsid w:val="00C33435"/>
    <w:rsid w:val="00C34C9D"/>
    <w:rsid w:val="00C360C2"/>
    <w:rsid w:val="00C360ED"/>
    <w:rsid w:val="00C36321"/>
    <w:rsid w:val="00C36DB8"/>
    <w:rsid w:val="00C36E11"/>
    <w:rsid w:val="00C401EC"/>
    <w:rsid w:val="00C434EE"/>
    <w:rsid w:val="00C50350"/>
    <w:rsid w:val="00C52AD1"/>
    <w:rsid w:val="00C52D0C"/>
    <w:rsid w:val="00C5322C"/>
    <w:rsid w:val="00C63002"/>
    <w:rsid w:val="00C65D8B"/>
    <w:rsid w:val="00C660A3"/>
    <w:rsid w:val="00C72451"/>
    <w:rsid w:val="00C72BA8"/>
    <w:rsid w:val="00C73761"/>
    <w:rsid w:val="00C76A53"/>
    <w:rsid w:val="00C77FBF"/>
    <w:rsid w:val="00C810CF"/>
    <w:rsid w:val="00C815EB"/>
    <w:rsid w:val="00C81905"/>
    <w:rsid w:val="00C81C1B"/>
    <w:rsid w:val="00C83C0F"/>
    <w:rsid w:val="00C8586B"/>
    <w:rsid w:val="00C87391"/>
    <w:rsid w:val="00C87E27"/>
    <w:rsid w:val="00C92F37"/>
    <w:rsid w:val="00C942CD"/>
    <w:rsid w:val="00C97D20"/>
    <w:rsid w:val="00CA333E"/>
    <w:rsid w:val="00CA3C0E"/>
    <w:rsid w:val="00CA5586"/>
    <w:rsid w:val="00CA7412"/>
    <w:rsid w:val="00CA77DD"/>
    <w:rsid w:val="00CB0BF5"/>
    <w:rsid w:val="00CB2BDF"/>
    <w:rsid w:val="00CB38DB"/>
    <w:rsid w:val="00CB62EA"/>
    <w:rsid w:val="00CC0635"/>
    <w:rsid w:val="00CC1C41"/>
    <w:rsid w:val="00CC250F"/>
    <w:rsid w:val="00CC3095"/>
    <w:rsid w:val="00CC4CA8"/>
    <w:rsid w:val="00CD005E"/>
    <w:rsid w:val="00CD12CE"/>
    <w:rsid w:val="00CD12F5"/>
    <w:rsid w:val="00CD4433"/>
    <w:rsid w:val="00CD569B"/>
    <w:rsid w:val="00CD7718"/>
    <w:rsid w:val="00CE2F66"/>
    <w:rsid w:val="00CE7A05"/>
    <w:rsid w:val="00CF02AF"/>
    <w:rsid w:val="00CF1F1C"/>
    <w:rsid w:val="00CF2D86"/>
    <w:rsid w:val="00CF4B9F"/>
    <w:rsid w:val="00CF548C"/>
    <w:rsid w:val="00CF6289"/>
    <w:rsid w:val="00D01EF8"/>
    <w:rsid w:val="00D02067"/>
    <w:rsid w:val="00D03E8D"/>
    <w:rsid w:val="00D03EF2"/>
    <w:rsid w:val="00D05172"/>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5D2"/>
    <w:rsid w:val="00D459CC"/>
    <w:rsid w:val="00D45B8F"/>
    <w:rsid w:val="00D503EA"/>
    <w:rsid w:val="00D515A4"/>
    <w:rsid w:val="00D521C2"/>
    <w:rsid w:val="00D52E91"/>
    <w:rsid w:val="00D55202"/>
    <w:rsid w:val="00D5651B"/>
    <w:rsid w:val="00D62F71"/>
    <w:rsid w:val="00D63234"/>
    <w:rsid w:val="00D66F81"/>
    <w:rsid w:val="00D72EE0"/>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FF5"/>
    <w:rsid w:val="00DA40B2"/>
    <w:rsid w:val="00DA436C"/>
    <w:rsid w:val="00DA4D4A"/>
    <w:rsid w:val="00DA57E7"/>
    <w:rsid w:val="00DA588C"/>
    <w:rsid w:val="00DA6D14"/>
    <w:rsid w:val="00DB11A2"/>
    <w:rsid w:val="00DB4886"/>
    <w:rsid w:val="00DB58AA"/>
    <w:rsid w:val="00DB6073"/>
    <w:rsid w:val="00DC1911"/>
    <w:rsid w:val="00DC1D89"/>
    <w:rsid w:val="00DC3C74"/>
    <w:rsid w:val="00DC5957"/>
    <w:rsid w:val="00DC5ED3"/>
    <w:rsid w:val="00DC75B9"/>
    <w:rsid w:val="00DD0ADF"/>
    <w:rsid w:val="00DD14A5"/>
    <w:rsid w:val="00DD1922"/>
    <w:rsid w:val="00DD457E"/>
    <w:rsid w:val="00DD46A0"/>
    <w:rsid w:val="00DD49DF"/>
    <w:rsid w:val="00DD5792"/>
    <w:rsid w:val="00DD6077"/>
    <w:rsid w:val="00DD6701"/>
    <w:rsid w:val="00DE2662"/>
    <w:rsid w:val="00DE48B7"/>
    <w:rsid w:val="00DE4CF7"/>
    <w:rsid w:val="00DE71DC"/>
    <w:rsid w:val="00DE7966"/>
    <w:rsid w:val="00DF2084"/>
    <w:rsid w:val="00DF23A1"/>
    <w:rsid w:val="00DF39F7"/>
    <w:rsid w:val="00DF62C0"/>
    <w:rsid w:val="00DF6D98"/>
    <w:rsid w:val="00E00321"/>
    <w:rsid w:val="00E01B89"/>
    <w:rsid w:val="00E0218D"/>
    <w:rsid w:val="00E02E16"/>
    <w:rsid w:val="00E1004A"/>
    <w:rsid w:val="00E112D9"/>
    <w:rsid w:val="00E16335"/>
    <w:rsid w:val="00E163CC"/>
    <w:rsid w:val="00E16E9D"/>
    <w:rsid w:val="00E308F4"/>
    <w:rsid w:val="00E30DC8"/>
    <w:rsid w:val="00E316AF"/>
    <w:rsid w:val="00E319DE"/>
    <w:rsid w:val="00E33A22"/>
    <w:rsid w:val="00E41114"/>
    <w:rsid w:val="00E41968"/>
    <w:rsid w:val="00E43716"/>
    <w:rsid w:val="00E44DC0"/>
    <w:rsid w:val="00E4534D"/>
    <w:rsid w:val="00E4601E"/>
    <w:rsid w:val="00E466F0"/>
    <w:rsid w:val="00E47486"/>
    <w:rsid w:val="00E54A67"/>
    <w:rsid w:val="00E550FC"/>
    <w:rsid w:val="00E55335"/>
    <w:rsid w:val="00E55D8B"/>
    <w:rsid w:val="00E5681A"/>
    <w:rsid w:val="00E56FB7"/>
    <w:rsid w:val="00E601C4"/>
    <w:rsid w:val="00E6046B"/>
    <w:rsid w:val="00E60C45"/>
    <w:rsid w:val="00E61528"/>
    <w:rsid w:val="00E6260F"/>
    <w:rsid w:val="00E62E97"/>
    <w:rsid w:val="00E64543"/>
    <w:rsid w:val="00E66DA0"/>
    <w:rsid w:val="00E736B0"/>
    <w:rsid w:val="00E74444"/>
    <w:rsid w:val="00E81435"/>
    <w:rsid w:val="00E8279A"/>
    <w:rsid w:val="00E86C0E"/>
    <w:rsid w:val="00E90562"/>
    <w:rsid w:val="00E9137E"/>
    <w:rsid w:val="00E92CAD"/>
    <w:rsid w:val="00E9381F"/>
    <w:rsid w:val="00E95127"/>
    <w:rsid w:val="00EA274B"/>
    <w:rsid w:val="00EA31CB"/>
    <w:rsid w:val="00EA5317"/>
    <w:rsid w:val="00EA79AF"/>
    <w:rsid w:val="00EA7CDE"/>
    <w:rsid w:val="00EB0362"/>
    <w:rsid w:val="00EB0FD9"/>
    <w:rsid w:val="00EB32EB"/>
    <w:rsid w:val="00EB5178"/>
    <w:rsid w:val="00EB61D8"/>
    <w:rsid w:val="00EB6529"/>
    <w:rsid w:val="00EC02C5"/>
    <w:rsid w:val="00EC2AAB"/>
    <w:rsid w:val="00EC452B"/>
    <w:rsid w:val="00EC71A3"/>
    <w:rsid w:val="00ED1E3C"/>
    <w:rsid w:val="00ED38BA"/>
    <w:rsid w:val="00ED6C16"/>
    <w:rsid w:val="00ED6F3F"/>
    <w:rsid w:val="00ED702F"/>
    <w:rsid w:val="00EE1061"/>
    <w:rsid w:val="00EE27EB"/>
    <w:rsid w:val="00EE766E"/>
    <w:rsid w:val="00EE797B"/>
    <w:rsid w:val="00EF051C"/>
    <w:rsid w:val="00F0075E"/>
    <w:rsid w:val="00F04726"/>
    <w:rsid w:val="00F06AB9"/>
    <w:rsid w:val="00F0787F"/>
    <w:rsid w:val="00F11EA0"/>
    <w:rsid w:val="00F133CF"/>
    <w:rsid w:val="00F143DB"/>
    <w:rsid w:val="00F14B01"/>
    <w:rsid w:val="00F16AC2"/>
    <w:rsid w:val="00F1745B"/>
    <w:rsid w:val="00F21BE9"/>
    <w:rsid w:val="00F21D2A"/>
    <w:rsid w:val="00F2530B"/>
    <w:rsid w:val="00F256FD"/>
    <w:rsid w:val="00F26296"/>
    <w:rsid w:val="00F31C17"/>
    <w:rsid w:val="00F32FFB"/>
    <w:rsid w:val="00F33C87"/>
    <w:rsid w:val="00F344C7"/>
    <w:rsid w:val="00F351B8"/>
    <w:rsid w:val="00F41119"/>
    <w:rsid w:val="00F4188B"/>
    <w:rsid w:val="00F41ED4"/>
    <w:rsid w:val="00F42678"/>
    <w:rsid w:val="00F434F0"/>
    <w:rsid w:val="00F43A14"/>
    <w:rsid w:val="00F44896"/>
    <w:rsid w:val="00F449BF"/>
    <w:rsid w:val="00F4553F"/>
    <w:rsid w:val="00F50D4B"/>
    <w:rsid w:val="00F52FA7"/>
    <w:rsid w:val="00F534B9"/>
    <w:rsid w:val="00F567EC"/>
    <w:rsid w:val="00F601D1"/>
    <w:rsid w:val="00F622A7"/>
    <w:rsid w:val="00F63306"/>
    <w:rsid w:val="00F635E9"/>
    <w:rsid w:val="00F636B5"/>
    <w:rsid w:val="00F64E85"/>
    <w:rsid w:val="00F6557B"/>
    <w:rsid w:val="00F66774"/>
    <w:rsid w:val="00F70AB8"/>
    <w:rsid w:val="00F7126C"/>
    <w:rsid w:val="00F738DC"/>
    <w:rsid w:val="00F7536C"/>
    <w:rsid w:val="00F76586"/>
    <w:rsid w:val="00F76D91"/>
    <w:rsid w:val="00F77986"/>
    <w:rsid w:val="00F77D1F"/>
    <w:rsid w:val="00F84710"/>
    <w:rsid w:val="00F85DD8"/>
    <w:rsid w:val="00F85DFD"/>
    <w:rsid w:val="00F91D75"/>
    <w:rsid w:val="00FA21A7"/>
    <w:rsid w:val="00FA2A26"/>
    <w:rsid w:val="00FA4291"/>
    <w:rsid w:val="00FA4ADF"/>
    <w:rsid w:val="00FB21B4"/>
    <w:rsid w:val="00FC1E9A"/>
    <w:rsid w:val="00FC404B"/>
    <w:rsid w:val="00FC47CF"/>
    <w:rsid w:val="00FC527C"/>
    <w:rsid w:val="00FC5436"/>
    <w:rsid w:val="00FC5FDF"/>
    <w:rsid w:val="00FD101A"/>
    <w:rsid w:val="00FD291F"/>
    <w:rsid w:val="00FD54A3"/>
    <w:rsid w:val="00FD597E"/>
    <w:rsid w:val="00FD6341"/>
    <w:rsid w:val="00FD68AB"/>
    <w:rsid w:val="00FE0207"/>
    <w:rsid w:val="00FE344B"/>
    <w:rsid w:val="00FE4890"/>
    <w:rsid w:val="00FE58A1"/>
    <w:rsid w:val="00FE6560"/>
    <w:rsid w:val="00FE7ED2"/>
    <w:rsid w:val="00FF076A"/>
    <w:rsid w:val="00FF0BDE"/>
    <w:rsid w:val="00FF1A17"/>
    <w:rsid w:val="00FF49AD"/>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209193618">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133136234">
      <w:bodyDiv w:val="1"/>
      <w:marLeft w:val="0"/>
      <w:marRight w:val="0"/>
      <w:marTop w:val="0"/>
      <w:marBottom w:val="0"/>
      <w:divBdr>
        <w:top w:val="none" w:sz="0" w:space="0" w:color="auto"/>
        <w:left w:val="none" w:sz="0" w:space="0" w:color="auto"/>
        <w:bottom w:val="none" w:sz="0" w:space="0" w:color="auto"/>
        <w:right w:val="none" w:sz="0" w:space="0" w:color="auto"/>
      </w:divBdr>
    </w:div>
    <w:div w:id="1260868978">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7B3B4-759D-4F0E-844A-22C7C0A4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52</cp:revision>
  <dcterms:created xsi:type="dcterms:W3CDTF">2020-04-22T14:07:00Z</dcterms:created>
  <dcterms:modified xsi:type="dcterms:W3CDTF">2020-05-29T18:54:00Z</dcterms:modified>
</cp:coreProperties>
</file>