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24B9BF67" w:rsidR="00226288" w:rsidRPr="00226288" w:rsidRDefault="00226288" w:rsidP="00156971">
      <w:pPr>
        <w:spacing w:line="480" w:lineRule="auto"/>
        <w:contextualSpacing/>
        <w:jc w:val="both"/>
      </w:pPr>
      <w:r w:rsidRPr="00226288">
        <w:t xml:space="preserve">An </w:t>
      </w:r>
      <w:r w:rsidR="00081AC4">
        <w:t>Image</w:t>
      </w:r>
      <w:r w:rsidRPr="00226288">
        <w:t xml:space="preserve"> of the Future – </w:t>
      </w:r>
      <w:r w:rsidR="00923496">
        <w:t>Entity 31</w:t>
      </w:r>
      <w:r w:rsidRPr="00226288">
        <w:t xml:space="preserve"> and Regional Service District </w:t>
      </w:r>
      <w:r w:rsidR="00706AE4">
        <w:t>7</w:t>
      </w:r>
    </w:p>
    <w:p w14:paraId="70CB123F" w14:textId="0386D539" w:rsidR="00226288" w:rsidRPr="00226288" w:rsidRDefault="00226288" w:rsidP="00EF347D">
      <w:pPr>
        <w:jc w:val="both"/>
        <w:rPr>
          <w:rFonts w:eastAsia="Times New Roman"/>
        </w:rPr>
      </w:pPr>
      <w:r w:rsidRPr="00226288">
        <w:rPr>
          <w:rFonts w:eastAsia="Times New Roman"/>
        </w:rPr>
        <w:t xml:space="preserve">To illustrate the benefits of this new framework, take the example of </w:t>
      </w:r>
      <w:r w:rsidR="00923496">
        <w:rPr>
          <w:rFonts w:eastAsia="Times New Roman"/>
        </w:rPr>
        <w:t>Entity 31</w:t>
      </w:r>
      <w:r w:rsidR="006736F1">
        <w:rPr>
          <w:rFonts w:eastAsia="Times New Roman"/>
        </w:rPr>
        <w:t>.</w:t>
      </w:r>
      <w:r w:rsidRPr="00226288">
        <w:rPr>
          <w:rFonts w:eastAsia="Times New Roman"/>
        </w:rPr>
        <w:t xml:space="preserve"> For the duration of this discussion the municipality shall be referred to as </w:t>
      </w:r>
      <w:r w:rsidR="00923496">
        <w:rPr>
          <w:rFonts w:eastAsia="Times New Roman"/>
        </w:rPr>
        <w:t>Entity 31</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047B47">
        <w:rPr>
          <w:rFonts w:eastAsia="Times New Roman"/>
        </w:rPr>
        <w:t>Memramcook</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AC40B82" w:rsidR="00226288" w:rsidRPr="00226288" w:rsidRDefault="00CD14B9" w:rsidP="00EF347D">
      <w:pPr>
        <w:jc w:val="both"/>
        <w:rPr>
          <w:b/>
          <w:bCs/>
        </w:rPr>
      </w:pPr>
      <w:r>
        <w:rPr>
          <w:noProof/>
          <w:szCs w:val="24"/>
        </w:rPr>
        <w:drawing>
          <wp:anchor distT="0" distB="0" distL="114300" distR="114300" simplePos="0" relativeHeight="251657728" behindDoc="0" locked="0" layoutInCell="1" allowOverlap="1" wp14:anchorId="4E73665D" wp14:editId="2E9C1867">
            <wp:simplePos x="0" y="0"/>
            <wp:positionH relativeFrom="column">
              <wp:posOffset>3883660</wp:posOffset>
            </wp:positionH>
            <wp:positionV relativeFrom="paragraph">
              <wp:posOffset>-1905</wp:posOffset>
            </wp:positionV>
            <wp:extent cx="2057400" cy="2587625"/>
            <wp:effectExtent l="0" t="0" r="0" b="3175"/>
            <wp:wrapThrough wrapText="bothSides">
              <wp:wrapPolygon edited="0">
                <wp:start x="400" y="0"/>
                <wp:lineTo x="0" y="477"/>
                <wp:lineTo x="0" y="20672"/>
                <wp:lineTo x="400" y="21467"/>
                <wp:lineTo x="21000" y="21467"/>
                <wp:lineTo x="21400" y="20672"/>
                <wp:lineTo x="21400" y="477"/>
                <wp:lineTo x="21000" y="0"/>
                <wp:lineTo x="40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8868" t="34559" r="39585" b="41283"/>
                    <a:stretch/>
                  </pic:blipFill>
                  <pic:spPr bwMode="auto">
                    <a:xfrm>
                      <a:off x="0" y="0"/>
                      <a:ext cx="2057400" cy="258762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414D5A8C" w:rsidR="007C1C58" w:rsidRPr="003E682B" w:rsidRDefault="00923496" w:rsidP="00EF347D">
      <w:pPr>
        <w:jc w:val="both"/>
        <w:rPr>
          <w:rFonts w:eastAsia="Times New Roman"/>
          <w:color w:val="000000"/>
          <w:sz w:val="20"/>
          <w:szCs w:val="20"/>
          <w:lang w:val="en-CA" w:eastAsia="en-CA"/>
        </w:rPr>
      </w:pPr>
      <w:r>
        <w:rPr>
          <w:szCs w:val="24"/>
        </w:rPr>
        <w:t>Entity 31</w:t>
      </w:r>
      <w:r w:rsidR="00D02067">
        <w:rPr>
          <w:szCs w:val="24"/>
        </w:rPr>
        <w:t xml:space="preserve"> </w:t>
      </w:r>
      <w:r w:rsidR="00D02067" w:rsidRPr="003E682B">
        <w:rPr>
          <w:szCs w:val="24"/>
        </w:rPr>
        <w:t xml:space="preserve">would be comprised of </w:t>
      </w:r>
      <w:r w:rsidR="00CA333E" w:rsidRPr="003E682B">
        <w:rPr>
          <w:szCs w:val="24"/>
        </w:rPr>
        <w:t xml:space="preserve">the </w:t>
      </w:r>
      <w:r w:rsidR="00CD14B9">
        <w:rPr>
          <w:szCs w:val="24"/>
        </w:rPr>
        <w:t xml:space="preserve">Village of </w:t>
      </w:r>
      <w:r w:rsidR="00047B47">
        <w:rPr>
          <w:szCs w:val="24"/>
        </w:rPr>
        <w:t>Memramcook</w:t>
      </w:r>
      <w:r w:rsidR="00DC6D5B" w:rsidRPr="003E682B">
        <w:rPr>
          <w:szCs w:val="24"/>
        </w:rPr>
        <w:t xml:space="preserve"> and </w:t>
      </w:r>
      <w:r w:rsidR="002C44D3">
        <w:rPr>
          <w:szCs w:val="24"/>
        </w:rPr>
        <w:t xml:space="preserve">a portion of the Calhoun </w:t>
      </w:r>
      <w:r w:rsidR="00825261">
        <w:rPr>
          <w:szCs w:val="24"/>
        </w:rPr>
        <w:t>Road section subunit of Dorchester LSD</w:t>
      </w:r>
      <w:r w:rsidR="0058183A" w:rsidRPr="003E682B">
        <w:rPr>
          <w:szCs w:val="24"/>
        </w:rPr>
        <w:t>.</w:t>
      </w:r>
      <w:r w:rsidR="00D45B8F">
        <w:rPr>
          <w:szCs w:val="24"/>
        </w:rPr>
        <w:t xml:space="preserve"> The proposed entity would </w:t>
      </w:r>
      <w:r w:rsidR="00AB0E52">
        <w:rPr>
          <w:szCs w:val="24"/>
        </w:rPr>
        <w:t xml:space="preserve">not include any </w:t>
      </w:r>
      <w:r w:rsidR="003E682B">
        <w:rPr>
          <w:szCs w:val="24"/>
        </w:rPr>
        <w:t>C</w:t>
      </w:r>
      <w:r w:rsidR="00661053">
        <w:rPr>
          <w:szCs w:val="24"/>
        </w:rPr>
        <w:t xml:space="preserve">rown </w:t>
      </w:r>
      <w:r w:rsidR="003E682B">
        <w:rPr>
          <w:szCs w:val="24"/>
        </w:rPr>
        <w:t>L</w:t>
      </w:r>
      <w:r w:rsidR="00661053">
        <w:rPr>
          <w:szCs w:val="24"/>
        </w:rPr>
        <w:t>ands</w:t>
      </w:r>
      <w:r w:rsidR="00AE33F2">
        <w:rPr>
          <w:szCs w:val="24"/>
        </w:rPr>
        <w:t>.</w:t>
      </w:r>
      <w:r w:rsidR="00B71E09" w:rsidRPr="00B71E09">
        <w:rPr>
          <w:szCs w:val="24"/>
        </w:rPr>
        <w:t xml:space="preserve"> </w:t>
      </w:r>
      <w:r w:rsidR="00B71E09">
        <w:rPr>
          <w:szCs w:val="24"/>
        </w:rPr>
        <w:t xml:space="preserve">As with the other municipal entities contiguous with </w:t>
      </w:r>
      <w:r w:rsidR="00AB403F">
        <w:rPr>
          <w:szCs w:val="24"/>
        </w:rPr>
        <w:t xml:space="preserve">the greater </w:t>
      </w:r>
      <w:r w:rsidR="00B71E09">
        <w:rPr>
          <w:szCs w:val="24"/>
        </w:rPr>
        <w:t>Moncton</w:t>
      </w:r>
      <w:r w:rsidR="00AB403F">
        <w:rPr>
          <w:szCs w:val="24"/>
        </w:rPr>
        <w:t xml:space="preserve"> area</w:t>
      </w:r>
      <w:r w:rsidR="00B71E09">
        <w:rPr>
          <w:szCs w:val="24"/>
        </w:rPr>
        <w:t>, Entity 3</w:t>
      </w:r>
      <w:r w:rsidR="00AB403F">
        <w:rPr>
          <w:szCs w:val="24"/>
        </w:rPr>
        <w:t>1</w:t>
      </w:r>
      <w:r w:rsidR="00B71E09">
        <w:rPr>
          <w:szCs w:val="24"/>
        </w:rPr>
        <w:t xml:space="preserve"> would be considerably smaller than most of the other proposed municipal entities.</w:t>
      </w:r>
    </w:p>
    <w:p w14:paraId="4750B350" w14:textId="7A9A4E6F" w:rsidR="00226288" w:rsidRPr="00226288" w:rsidRDefault="00226288" w:rsidP="00EF347D">
      <w:pPr>
        <w:jc w:val="both"/>
        <w:rPr>
          <w:rFonts w:eastAsia="Times New Roman"/>
          <w:b/>
          <w:bCs/>
        </w:rPr>
      </w:pPr>
      <w:r w:rsidRPr="00226288">
        <w:rPr>
          <w:rFonts w:eastAsia="Times New Roman"/>
          <w:b/>
          <w:bCs/>
        </w:rPr>
        <w:t>Demographic Base</w:t>
      </w:r>
    </w:p>
    <w:p w14:paraId="4A234E1E" w14:textId="3BD269BF" w:rsidR="00990988" w:rsidRDefault="00226288" w:rsidP="00EF347D">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276A79">
        <w:rPr>
          <w:rFonts w:eastAsia="Times New Roman"/>
          <w:color w:val="000000" w:themeColor="text1"/>
          <w:szCs w:val="24"/>
        </w:rPr>
        <w:t>4800</w:t>
      </w:r>
      <w:r w:rsidR="003002B5">
        <w:rPr>
          <w:szCs w:val="24"/>
        </w:rPr>
        <w:t xml:space="preserve"> p</w:t>
      </w:r>
      <w:r w:rsidR="006437C2">
        <w:rPr>
          <w:szCs w:val="24"/>
        </w:rPr>
        <w:t>eopl</w:t>
      </w:r>
      <w:r w:rsidR="00DF2084">
        <w:rPr>
          <w:szCs w:val="24"/>
        </w:rPr>
        <w:t>e</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923496">
        <w:rPr>
          <w:rFonts w:eastAsia="Times New Roman"/>
          <w:color w:val="000000" w:themeColor="text1"/>
          <w:szCs w:val="24"/>
        </w:rPr>
        <w:t>Entity 31</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3E682B">
        <w:rPr>
          <w:rFonts w:eastAsia="Times New Roman"/>
          <w:color w:val="000000" w:themeColor="text1"/>
          <w:szCs w:val="24"/>
        </w:rPr>
        <w:t>Anglophone</w:t>
      </w:r>
      <w:r w:rsidR="0099681E">
        <w:rPr>
          <w:rFonts w:eastAsia="Times New Roman"/>
          <w:color w:val="000000" w:themeColor="text1"/>
          <w:szCs w:val="24"/>
        </w:rPr>
        <w:t xml:space="preserve"> minority is over </w:t>
      </w:r>
      <w:r w:rsidR="006B1AA3">
        <w:rPr>
          <w:rFonts w:eastAsia="Times New Roman"/>
          <w:color w:val="000000" w:themeColor="text1"/>
          <w:szCs w:val="24"/>
        </w:rPr>
        <w:t>20</w:t>
      </w:r>
      <w:r w:rsidR="0099681E">
        <w:rPr>
          <w:rFonts w:eastAsia="Times New Roman"/>
          <w:color w:val="000000" w:themeColor="text1"/>
          <w:szCs w:val="24"/>
        </w:rPr>
        <w:t xml:space="preserve">% of the overall population. </w:t>
      </w:r>
    </w:p>
    <w:tbl>
      <w:tblPr>
        <w:tblpPr w:leftFromText="180" w:rightFromText="180" w:vertAnchor="text" w:horzAnchor="margin" w:tblpXSpec="right" w:tblpY="1787"/>
        <w:tblOverlap w:val="never"/>
        <w:tblW w:w="5796" w:type="dxa"/>
        <w:tblLook w:val="04A0" w:firstRow="1" w:lastRow="0" w:firstColumn="1" w:lastColumn="0" w:noHBand="0" w:noVBand="1"/>
      </w:tblPr>
      <w:tblGrid>
        <w:gridCol w:w="2577"/>
        <w:gridCol w:w="1611"/>
        <w:gridCol w:w="1608"/>
      </w:tblGrid>
      <w:tr w:rsidR="00284211" w:rsidRPr="00990988" w14:paraId="33252AF5" w14:textId="77777777" w:rsidTr="00284211">
        <w:trPr>
          <w:trHeight w:val="310"/>
        </w:trPr>
        <w:tc>
          <w:tcPr>
            <w:tcW w:w="5796" w:type="dxa"/>
            <w:gridSpan w:val="3"/>
            <w:tcBorders>
              <w:top w:val="nil"/>
              <w:left w:val="nil"/>
              <w:bottom w:val="single" w:sz="8" w:space="0" w:color="BFBFBF"/>
              <w:right w:val="nil"/>
            </w:tcBorders>
            <w:shd w:val="clear" w:color="auto" w:fill="auto"/>
            <w:noWrap/>
            <w:vAlign w:val="center"/>
            <w:hideMark/>
          </w:tcPr>
          <w:p w14:paraId="39FCD286" w14:textId="77777777" w:rsidR="00284211" w:rsidRPr="00990988" w:rsidRDefault="00284211" w:rsidP="00EF347D">
            <w:pPr>
              <w:spacing w:after="0" w:line="240" w:lineRule="auto"/>
              <w:jc w:val="both"/>
              <w:rPr>
                <w:rFonts w:eastAsia="Times New Roman"/>
                <w:b/>
                <w:bCs/>
                <w:color w:val="000000"/>
                <w:szCs w:val="24"/>
                <w:lang w:val="en-CA" w:eastAsia="en-CA"/>
              </w:rPr>
            </w:pPr>
            <w:r w:rsidRPr="00990988">
              <w:rPr>
                <w:rFonts w:eastAsia="Times New Roman"/>
                <w:b/>
                <w:bCs/>
                <w:color w:val="000000"/>
                <w:szCs w:val="24"/>
                <w:lang w:val="en-CA" w:eastAsia="en-CA"/>
              </w:rPr>
              <w:t>Voter Turnout by Existing Municipality</w:t>
            </w:r>
          </w:p>
        </w:tc>
      </w:tr>
      <w:tr w:rsidR="00284211" w:rsidRPr="00990988" w14:paraId="76DCB07D" w14:textId="77777777" w:rsidTr="00284211">
        <w:trPr>
          <w:trHeight w:val="970"/>
        </w:trPr>
        <w:tc>
          <w:tcPr>
            <w:tcW w:w="2577" w:type="dxa"/>
            <w:tcBorders>
              <w:top w:val="nil"/>
              <w:left w:val="nil"/>
              <w:bottom w:val="nil"/>
              <w:right w:val="nil"/>
            </w:tcBorders>
            <w:shd w:val="clear" w:color="4472C4" w:fill="4472C4"/>
            <w:vAlign w:val="center"/>
            <w:hideMark/>
          </w:tcPr>
          <w:p w14:paraId="33EDCF66" w14:textId="77777777" w:rsidR="00284211" w:rsidRPr="00990988" w:rsidRDefault="00284211" w:rsidP="00EF347D">
            <w:pPr>
              <w:spacing w:after="0" w:line="240" w:lineRule="auto"/>
              <w:jc w:val="both"/>
              <w:rPr>
                <w:rFonts w:eastAsia="Times New Roman"/>
                <w:b/>
                <w:bCs/>
                <w:color w:val="000000"/>
                <w:szCs w:val="24"/>
                <w:lang w:val="en-CA" w:eastAsia="en-CA"/>
              </w:rPr>
            </w:pPr>
            <w:r w:rsidRPr="00990988">
              <w:rPr>
                <w:rFonts w:eastAsia="Times New Roman"/>
                <w:b/>
                <w:bCs/>
                <w:color w:val="000000"/>
                <w:szCs w:val="24"/>
                <w:lang w:val="en-CA" w:eastAsia="en-CA"/>
              </w:rPr>
              <w:t>Municipality</w:t>
            </w:r>
          </w:p>
        </w:tc>
        <w:tc>
          <w:tcPr>
            <w:tcW w:w="1611" w:type="dxa"/>
            <w:tcBorders>
              <w:top w:val="nil"/>
              <w:left w:val="single" w:sz="4" w:space="0" w:color="FFFFFF"/>
              <w:bottom w:val="nil"/>
              <w:right w:val="nil"/>
            </w:tcBorders>
            <w:shd w:val="clear" w:color="4472C4" w:fill="4472C4"/>
            <w:hideMark/>
          </w:tcPr>
          <w:p w14:paraId="453A4017" w14:textId="77777777" w:rsidR="00284211" w:rsidRPr="00990988" w:rsidRDefault="00284211" w:rsidP="00EF347D">
            <w:pPr>
              <w:spacing w:after="0" w:line="240" w:lineRule="auto"/>
              <w:jc w:val="both"/>
              <w:rPr>
                <w:rFonts w:eastAsia="Times New Roman"/>
                <w:b/>
                <w:bCs/>
                <w:color w:val="000000"/>
                <w:szCs w:val="24"/>
                <w:lang w:val="en-CA" w:eastAsia="en-CA"/>
              </w:rPr>
            </w:pPr>
            <w:r w:rsidRPr="00990988">
              <w:rPr>
                <w:rFonts w:eastAsia="Times New Roman"/>
                <w:b/>
                <w:bCs/>
                <w:color w:val="000000"/>
                <w:szCs w:val="24"/>
                <w:lang w:val="en-CA" w:eastAsia="en-CA"/>
              </w:rPr>
              <w:t>Voter Participation 2012</w:t>
            </w:r>
            <w:r w:rsidRPr="00990988">
              <w:rPr>
                <w:rFonts w:eastAsia="Times New Roman"/>
                <w:b/>
                <w:bCs/>
                <w:color w:val="000000"/>
                <w:szCs w:val="24"/>
                <w:vertAlign w:val="superscript"/>
                <w:lang w:val="en-CA" w:eastAsia="en-CA"/>
              </w:rPr>
              <w:t>1</w:t>
            </w:r>
          </w:p>
        </w:tc>
        <w:tc>
          <w:tcPr>
            <w:tcW w:w="1608" w:type="dxa"/>
            <w:tcBorders>
              <w:top w:val="nil"/>
              <w:left w:val="single" w:sz="4" w:space="0" w:color="FFFFFF"/>
              <w:bottom w:val="nil"/>
              <w:right w:val="nil"/>
            </w:tcBorders>
            <w:shd w:val="clear" w:color="4472C4" w:fill="4472C4"/>
            <w:hideMark/>
          </w:tcPr>
          <w:p w14:paraId="66B9897F" w14:textId="77777777" w:rsidR="00284211" w:rsidRPr="00990988" w:rsidRDefault="00284211" w:rsidP="00EF347D">
            <w:pPr>
              <w:spacing w:after="0" w:line="240" w:lineRule="auto"/>
              <w:jc w:val="both"/>
              <w:rPr>
                <w:rFonts w:eastAsia="Times New Roman"/>
                <w:b/>
                <w:bCs/>
                <w:color w:val="000000"/>
                <w:szCs w:val="24"/>
                <w:lang w:val="en-CA" w:eastAsia="en-CA"/>
              </w:rPr>
            </w:pPr>
            <w:r w:rsidRPr="00990988">
              <w:rPr>
                <w:rFonts w:eastAsia="Times New Roman"/>
                <w:b/>
                <w:bCs/>
                <w:color w:val="000000"/>
                <w:szCs w:val="24"/>
                <w:lang w:val="en-CA" w:eastAsia="en-CA"/>
              </w:rPr>
              <w:t>Voter Participation 2016</w:t>
            </w:r>
            <w:r w:rsidRPr="00990988">
              <w:rPr>
                <w:rFonts w:eastAsia="Times New Roman"/>
                <w:b/>
                <w:bCs/>
                <w:color w:val="000000"/>
                <w:szCs w:val="24"/>
                <w:vertAlign w:val="superscript"/>
                <w:lang w:val="en-CA" w:eastAsia="en-CA"/>
              </w:rPr>
              <w:t>2</w:t>
            </w:r>
          </w:p>
        </w:tc>
      </w:tr>
      <w:tr w:rsidR="00284211" w:rsidRPr="00990988" w14:paraId="75F8788D" w14:textId="77777777" w:rsidTr="00284211">
        <w:trPr>
          <w:trHeight w:val="290"/>
        </w:trPr>
        <w:tc>
          <w:tcPr>
            <w:tcW w:w="2577" w:type="dxa"/>
            <w:tcBorders>
              <w:top w:val="single" w:sz="12" w:space="0" w:color="FFFFFF"/>
              <w:left w:val="nil"/>
              <w:bottom w:val="nil"/>
              <w:right w:val="nil"/>
            </w:tcBorders>
            <w:shd w:val="clear" w:color="B4C6E7" w:fill="B4C6E7"/>
            <w:noWrap/>
            <w:vAlign w:val="bottom"/>
            <w:hideMark/>
          </w:tcPr>
          <w:p w14:paraId="0B6BA612" w14:textId="77777777" w:rsidR="00284211" w:rsidRPr="00990988" w:rsidRDefault="00284211" w:rsidP="00EF347D">
            <w:pPr>
              <w:spacing w:after="0" w:line="240" w:lineRule="auto"/>
              <w:jc w:val="both"/>
              <w:rPr>
                <w:rFonts w:eastAsia="Times New Roman"/>
                <w:color w:val="000000"/>
                <w:szCs w:val="24"/>
                <w:lang w:val="en-CA" w:eastAsia="en-CA"/>
              </w:rPr>
            </w:pPr>
            <w:r>
              <w:rPr>
                <w:rFonts w:eastAsia="Times New Roman"/>
                <w:color w:val="000000"/>
                <w:szCs w:val="24"/>
                <w:lang w:val="en-CA" w:eastAsia="en-CA"/>
              </w:rPr>
              <w:t>Memramcook</w:t>
            </w:r>
          </w:p>
        </w:tc>
        <w:tc>
          <w:tcPr>
            <w:tcW w:w="1611" w:type="dxa"/>
            <w:tcBorders>
              <w:top w:val="single" w:sz="12" w:space="0" w:color="FFFFFF"/>
              <w:left w:val="single" w:sz="4" w:space="0" w:color="FFFFFF"/>
              <w:bottom w:val="nil"/>
              <w:right w:val="nil"/>
            </w:tcBorders>
            <w:shd w:val="clear" w:color="B4C6E7" w:fill="B4C6E7"/>
            <w:noWrap/>
            <w:vAlign w:val="bottom"/>
            <w:hideMark/>
          </w:tcPr>
          <w:p w14:paraId="3BCEC15A" w14:textId="77777777" w:rsidR="00284211" w:rsidRPr="00990988" w:rsidRDefault="00284211" w:rsidP="00EF347D">
            <w:pPr>
              <w:spacing w:after="0" w:line="240" w:lineRule="auto"/>
              <w:jc w:val="both"/>
              <w:rPr>
                <w:rFonts w:eastAsia="Times New Roman"/>
                <w:color w:val="000000"/>
                <w:szCs w:val="24"/>
                <w:lang w:val="en-CA" w:eastAsia="en-CA"/>
              </w:rPr>
            </w:pPr>
            <w:r>
              <w:rPr>
                <w:rFonts w:eastAsia="Times New Roman"/>
                <w:color w:val="000000"/>
                <w:szCs w:val="24"/>
                <w:lang w:val="en-CA" w:eastAsia="en-CA"/>
              </w:rPr>
              <w:t>60.04%</w:t>
            </w:r>
          </w:p>
        </w:tc>
        <w:tc>
          <w:tcPr>
            <w:tcW w:w="1608" w:type="dxa"/>
            <w:tcBorders>
              <w:top w:val="single" w:sz="12" w:space="0" w:color="FFFFFF"/>
              <w:left w:val="single" w:sz="4" w:space="0" w:color="FFFFFF"/>
              <w:bottom w:val="nil"/>
              <w:right w:val="nil"/>
            </w:tcBorders>
            <w:shd w:val="clear" w:color="B4C6E7" w:fill="B4C6E7"/>
            <w:noWrap/>
            <w:vAlign w:val="bottom"/>
            <w:hideMark/>
          </w:tcPr>
          <w:p w14:paraId="05DC781C" w14:textId="77777777" w:rsidR="00284211" w:rsidRPr="00990988" w:rsidRDefault="00284211" w:rsidP="00EF347D">
            <w:pPr>
              <w:spacing w:after="0" w:line="240" w:lineRule="auto"/>
              <w:jc w:val="both"/>
              <w:rPr>
                <w:rFonts w:eastAsia="Times New Roman"/>
                <w:color w:val="000000"/>
                <w:szCs w:val="24"/>
                <w:lang w:val="en-CA" w:eastAsia="en-CA"/>
              </w:rPr>
            </w:pPr>
            <w:r w:rsidRPr="00990988">
              <w:rPr>
                <w:rFonts w:eastAsia="Times New Roman"/>
                <w:color w:val="000000"/>
                <w:szCs w:val="24"/>
                <w:lang w:val="en-CA" w:eastAsia="en-CA"/>
              </w:rPr>
              <w:t>6</w:t>
            </w:r>
            <w:r>
              <w:rPr>
                <w:rFonts w:eastAsia="Times New Roman"/>
                <w:color w:val="000000"/>
                <w:szCs w:val="24"/>
                <w:lang w:val="en-CA" w:eastAsia="en-CA"/>
              </w:rPr>
              <w:t>0.49%</w:t>
            </w:r>
          </w:p>
        </w:tc>
      </w:tr>
      <w:tr w:rsidR="00284211" w:rsidRPr="00990988" w14:paraId="1CD8A1CC" w14:textId="77777777" w:rsidTr="00284211">
        <w:trPr>
          <w:trHeight w:val="310"/>
        </w:trPr>
        <w:tc>
          <w:tcPr>
            <w:tcW w:w="5796" w:type="dxa"/>
            <w:gridSpan w:val="3"/>
            <w:tcBorders>
              <w:top w:val="nil"/>
              <w:left w:val="nil"/>
              <w:bottom w:val="nil"/>
              <w:right w:val="nil"/>
            </w:tcBorders>
            <w:shd w:val="clear" w:color="auto" w:fill="auto"/>
            <w:noWrap/>
            <w:vAlign w:val="bottom"/>
            <w:hideMark/>
          </w:tcPr>
          <w:p w14:paraId="5835A3C5" w14:textId="77777777" w:rsidR="00284211" w:rsidRPr="00990988" w:rsidRDefault="00284211" w:rsidP="00EF347D">
            <w:pPr>
              <w:spacing w:after="0" w:line="240" w:lineRule="auto"/>
              <w:jc w:val="both"/>
              <w:rPr>
                <w:rFonts w:eastAsia="Times New Roman"/>
                <w:color w:val="000000"/>
                <w:sz w:val="20"/>
                <w:szCs w:val="20"/>
                <w:lang w:val="en-CA" w:eastAsia="en-CA"/>
              </w:rPr>
            </w:pPr>
            <w:r w:rsidRPr="00990988">
              <w:rPr>
                <w:rFonts w:eastAsia="Times New Roman"/>
                <w:color w:val="000000"/>
                <w:sz w:val="20"/>
                <w:szCs w:val="20"/>
                <w:lang w:val="en-CA" w:eastAsia="en-CA"/>
              </w:rPr>
              <w:t>1. Elections NB</w:t>
            </w:r>
          </w:p>
        </w:tc>
      </w:tr>
    </w:tbl>
    <w:p w14:paraId="33A2E114" w14:textId="3D3DFE23" w:rsidR="003B03C3" w:rsidRDefault="00E63A7D" w:rsidP="00EF347D">
      <w:pPr>
        <w:jc w:val="both"/>
        <w:rPr>
          <w:rFonts w:eastAsia="Times New Roman"/>
          <w:color w:val="000000" w:themeColor="text1"/>
          <w:szCs w:val="24"/>
        </w:rPr>
      </w:pPr>
      <w:r>
        <w:rPr>
          <w:rFonts w:eastAsia="Times New Roman"/>
          <w:color w:val="000000" w:themeColor="text1"/>
          <w:szCs w:val="24"/>
        </w:rPr>
        <w:t xml:space="preserve">Unlike most other proposed entities, </w:t>
      </w:r>
      <w:r w:rsidR="00923496">
        <w:rPr>
          <w:rFonts w:eastAsia="Times New Roman"/>
          <w:color w:val="000000" w:themeColor="text1"/>
          <w:szCs w:val="24"/>
        </w:rPr>
        <w:t>Entity 31</w:t>
      </w:r>
      <w:r>
        <w:rPr>
          <w:rFonts w:eastAsia="Times New Roman"/>
          <w:color w:val="000000" w:themeColor="text1"/>
          <w:szCs w:val="24"/>
        </w:rPr>
        <w:t xml:space="preserve"> would not include many currently unincorporated areas. </w:t>
      </w:r>
      <w:r w:rsidR="006D7411">
        <w:rPr>
          <w:rFonts w:eastAsia="Times New Roman"/>
          <w:color w:val="000000" w:themeColor="text1"/>
          <w:szCs w:val="24"/>
        </w:rPr>
        <w:t xml:space="preserve">Rather, the proposed entity would serve first and foremost to expand the boundaries </w:t>
      </w:r>
      <w:r w:rsidR="006E0F70">
        <w:rPr>
          <w:rFonts w:eastAsia="Times New Roman"/>
          <w:color w:val="000000" w:themeColor="text1"/>
          <w:szCs w:val="24"/>
        </w:rPr>
        <w:t xml:space="preserve">of the existing municipality. As it stands, Memramcook already has </w:t>
      </w:r>
      <w:r w:rsidR="003A20BA">
        <w:rPr>
          <w:rFonts w:eastAsia="Times New Roman"/>
          <w:color w:val="000000" w:themeColor="text1"/>
          <w:szCs w:val="24"/>
        </w:rPr>
        <w:t xml:space="preserve">admirable voter turnout rates </w:t>
      </w:r>
      <w:r w:rsidR="00B0029A">
        <w:rPr>
          <w:rFonts w:eastAsia="Times New Roman"/>
          <w:color w:val="000000" w:themeColor="text1"/>
          <w:szCs w:val="24"/>
        </w:rPr>
        <w:t xml:space="preserve">and no immediate concerns of </w:t>
      </w:r>
      <w:r w:rsidR="0053143D">
        <w:rPr>
          <w:rFonts w:eastAsia="Times New Roman"/>
          <w:color w:val="000000" w:themeColor="text1"/>
          <w:szCs w:val="24"/>
        </w:rPr>
        <w:t xml:space="preserve">a </w:t>
      </w:r>
      <w:r w:rsidR="00B0029A">
        <w:rPr>
          <w:rFonts w:eastAsia="Times New Roman"/>
          <w:color w:val="000000" w:themeColor="text1"/>
          <w:szCs w:val="24"/>
        </w:rPr>
        <w:t>shrinking potential candidate pool.</w:t>
      </w:r>
      <w:r w:rsidR="003F37E5">
        <w:rPr>
          <w:rFonts w:eastAsia="Times New Roman"/>
          <w:color w:val="000000" w:themeColor="text1"/>
          <w:szCs w:val="24"/>
        </w:rPr>
        <w:t xml:space="preserve"> </w:t>
      </w:r>
      <w:r w:rsidR="007E6535">
        <w:rPr>
          <w:rFonts w:eastAsia="Times New Roman"/>
          <w:color w:val="000000" w:themeColor="text1"/>
          <w:szCs w:val="24"/>
        </w:rPr>
        <w:t xml:space="preserve">The incorporated populations of the northern half of the Dorchester LSD will therefore benefit from </w:t>
      </w:r>
      <w:r w:rsidR="00031575">
        <w:rPr>
          <w:rFonts w:eastAsia="Times New Roman"/>
          <w:color w:val="000000" w:themeColor="text1"/>
          <w:szCs w:val="24"/>
        </w:rPr>
        <w:t xml:space="preserve">the example of Memramcook’s </w:t>
      </w:r>
      <w:r w:rsidR="0053143D">
        <w:rPr>
          <w:rFonts w:eastAsia="Times New Roman"/>
          <w:color w:val="000000" w:themeColor="text1"/>
          <w:szCs w:val="24"/>
        </w:rPr>
        <w:t xml:space="preserve">healthy democratic institutions and may even serve to benefit </w:t>
      </w:r>
      <w:r w:rsidR="008674DC">
        <w:rPr>
          <w:rFonts w:eastAsia="Times New Roman"/>
          <w:color w:val="000000" w:themeColor="text1"/>
          <w:szCs w:val="24"/>
        </w:rPr>
        <w:t>voter turnout overall</w:t>
      </w:r>
      <w:r w:rsidR="001D0154">
        <w:rPr>
          <w:rFonts w:eastAsia="Times New Roman"/>
          <w:color w:val="000000" w:themeColor="text1"/>
          <w:szCs w:val="24"/>
        </w:rPr>
        <w:t xml:space="preserve">. </w:t>
      </w:r>
      <w:r w:rsidR="00AA2339">
        <w:rPr>
          <w:rFonts w:eastAsia="Times New Roman"/>
          <w:color w:val="000000" w:themeColor="text1"/>
          <w:szCs w:val="24"/>
        </w:rPr>
        <w:t xml:space="preserve">The incorporation of </w:t>
      </w:r>
      <w:r w:rsidR="00BE3848">
        <w:rPr>
          <w:rFonts w:eastAsia="Times New Roman"/>
          <w:color w:val="000000" w:themeColor="text1"/>
          <w:szCs w:val="24"/>
        </w:rPr>
        <w:t xml:space="preserve">populations with diverse interests </w:t>
      </w:r>
      <w:r w:rsidR="00075B67">
        <w:rPr>
          <w:rFonts w:eastAsia="Times New Roman"/>
          <w:color w:val="000000" w:themeColor="text1"/>
          <w:szCs w:val="24"/>
        </w:rPr>
        <w:t xml:space="preserve">leads to greater competition within the electorate subsequently improving the accountability </w:t>
      </w:r>
      <w:r w:rsidR="00284211">
        <w:rPr>
          <w:rFonts w:eastAsia="Times New Roman"/>
          <w:color w:val="000000" w:themeColor="text1"/>
          <w:szCs w:val="24"/>
        </w:rPr>
        <w:t xml:space="preserve">of elected officials. </w:t>
      </w:r>
    </w:p>
    <w:p w14:paraId="3EC3BF32" w14:textId="0FE57565" w:rsidR="00226288" w:rsidRPr="00431ACD" w:rsidRDefault="00226288" w:rsidP="00EF347D">
      <w:pPr>
        <w:jc w:val="both"/>
        <w:rPr>
          <w:rFonts w:eastAsia="Times New Roman"/>
          <w:color w:val="000000" w:themeColor="text1"/>
          <w:szCs w:val="24"/>
        </w:rPr>
      </w:pPr>
      <w:r w:rsidRPr="00226288">
        <w:rPr>
          <w:rFonts w:eastAsia="Times New Roman"/>
          <w:b/>
          <w:bCs/>
          <w:szCs w:val="24"/>
        </w:rPr>
        <w:t>Financial Base</w:t>
      </w:r>
    </w:p>
    <w:p w14:paraId="161CD499" w14:textId="08E499AA" w:rsidR="002D1F21" w:rsidRPr="00226288" w:rsidRDefault="00DB305D" w:rsidP="00EF347D">
      <w:pPr>
        <w:jc w:val="both"/>
      </w:pPr>
      <w:r>
        <w:t xml:space="preserve">The primary benefits of the proposed entity for the residents of the existing municipality and LSD would be financial. </w:t>
      </w:r>
      <w:r w:rsidR="002D1F21">
        <w:t xml:space="preserve">Entity </w:t>
      </w:r>
      <w:r w:rsidR="001A086F">
        <w:t>31</w:t>
      </w:r>
      <w:r w:rsidR="002D1F21" w:rsidRPr="00226288">
        <w:t xml:space="preserve"> w</w:t>
      </w:r>
      <w:r w:rsidR="001A086F">
        <w:t xml:space="preserve">ould </w:t>
      </w:r>
      <w:r w:rsidR="002D1F21" w:rsidRPr="00226288">
        <w:t xml:space="preserve">have a financial base capable of service provision beyond a simple aggregation of the assessed value of each constituent municipality and LSD. Under the new </w:t>
      </w:r>
      <w:r w:rsidR="002D1F21" w:rsidRPr="00226288">
        <w:lastRenderedPageBreak/>
        <w:t xml:space="preserve">framework, municipal revenues will come from a combination of equalization payments from the provincial government, municipal property taxes, and other user fees related to services like water and wastewater usage. </w:t>
      </w:r>
    </w:p>
    <w:p w14:paraId="3BC92F04" w14:textId="425A6E8F" w:rsidR="002D1F21" w:rsidRPr="00AF6C9B" w:rsidRDefault="00226288" w:rsidP="00C31BC3">
      <w:pPr>
        <w:jc w:val="both"/>
        <w:rPr>
          <w:rFonts w:eastAsia="Times New Roman"/>
          <w:color w:val="000000"/>
          <w:sz w:val="20"/>
          <w:szCs w:val="20"/>
          <w:lang w:val="en-CA" w:eastAsia="en-CA"/>
        </w:rPr>
      </w:pPr>
      <w:r w:rsidRPr="00226288">
        <w:t xml:space="preserve">Because its population is </w:t>
      </w:r>
      <w:r w:rsidR="0035403A">
        <w:t xml:space="preserve">below </w:t>
      </w:r>
      <w:r w:rsidR="00B125F3">
        <w:t>1</w:t>
      </w:r>
      <w:r w:rsidR="00275F78">
        <w:t>0000</w:t>
      </w:r>
      <w:r w:rsidRPr="00226288">
        <w:t xml:space="preserve">, </w:t>
      </w:r>
      <w:r w:rsidR="00923496">
        <w:t>Entity 31</w:t>
      </w:r>
      <w:r w:rsidR="00B125F3">
        <w:t xml:space="preserve"> would qualify as a ‘Group </w:t>
      </w:r>
      <w:r w:rsidR="0035403A">
        <w:t>A</w:t>
      </w:r>
      <w:r w:rsidR="003B2A08">
        <w:t>’</w:t>
      </w:r>
      <w:r w:rsidRPr="00226288">
        <w:t xml:space="preserve"> municipality</w:t>
      </w:r>
      <w:r w:rsidR="003011C3">
        <w:t xml:space="preserve">. </w:t>
      </w:r>
      <w:r w:rsidR="00C31BC3">
        <w:t xml:space="preserve">As Entity 31’s assessment </w:t>
      </w:r>
      <w:r w:rsidR="00C31BC3" w:rsidRPr="004E4D77">
        <w:rPr>
          <w:szCs w:val="24"/>
        </w:rPr>
        <w:t xml:space="preserve">base per capita would be lesser than the group average, it would be entitled to an annual equalization grant of </w:t>
      </w:r>
      <w:r w:rsidR="004E4D77" w:rsidRPr="004E4D77">
        <w:rPr>
          <w:rFonts w:eastAsia="Times New Roman"/>
          <w:color w:val="000000"/>
          <w:szCs w:val="24"/>
          <w:lang w:val="en-CA" w:eastAsia="en-CA"/>
        </w:rPr>
        <w:t xml:space="preserve">$3,343 </w:t>
      </w:r>
      <w:r w:rsidR="00C31BC3" w:rsidRPr="004E4D77">
        <w:rPr>
          <w:rFonts w:eastAsia="Times New Roman"/>
          <w:color w:val="000000"/>
          <w:szCs w:val="24"/>
          <w:lang w:val="en-CA" w:eastAsia="en-CA"/>
        </w:rPr>
        <w:t>to ensure</w:t>
      </w:r>
      <w:r w:rsidR="00C31BC3" w:rsidRPr="009E0C04">
        <w:rPr>
          <w:rFonts w:eastAsia="Times New Roman"/>
          <w:color w:val="000000"/>
          <w:szCs w:val="24"/>
          <w:lang w:val="en-CA" w:eastAsia="en-CA"/>
        </w:rPr>
        <w:t xml:space="preserve"> equal opportunity among the 53 municipal entities. </w:t>
      </w:r>
      <w:r w:rsidR="004E4D77">
        <w:rPr>
          <w:rFonts w:eastAsia="Times New Roman"/>
          <w:color w:val="000000"/>
          <w:szCs w:val="24"/>
          <w:lang w:val="en-CA" w:eastAsia="en-CA"/>
        </w:rPr>
        <w:t xml:space="preserve">Compared with other </w:t>
      </w:r>
      <w:r w:rsidR="004C0A6B">
        <w:rPr>
          <w:rFonts w:eastAsia="Times New Roman"/>
          <w:color w:val="000000"/>
          <w:szCs w:val="24"/>
          <w:lang w:val="en-CA" w:eastAsia="en-CA"/>
        </w:rPr>
        <w:t xml:space="preserve">proposed entities entitled to receive equalization grants, Entity 31’s grant is rather </w:t>
      </w:r>
      <w:r w:rsidR="006D3C9F">
        <w:rPr>
          <w:rFonts w:eastAsia="Times New Roman"/>
          <w:color w:val="000000"/>
          <w:szCs w:val="24"/>
          <w:lang w:val="en-CA" w:eastAsia="en-CA"/>
        </w:rPr>
        <w:t>marginal,</w:t>
      </w:r>
      <w:r w:rsidR="00EE4783">
        <w:rPr>
          <w:rFonts w:eastAsia="Times New Roman"/>
          <w:color w:val="000000"/>
          <w:szCs w:val="24"/>
          <w:lang w:val="en-CA" w:eastAsia="en-CA"/>
        </w:rPr>
        <w:t xml:space="preserve"> but this is because of how similar Entity 31’s assessment base per capita is to the group average. </w:t>
      </w:r>
      <w:r w:rsidR="00C31BC3" w:rsidRPr="009E0C04">
        <w:rPr>
          <w:szCs w:val="24"/>
        </w:rPr>
        <w:t>With the tax room transfer from the provincial</w:t>
      </w:r>
      <w:r w:rsidR="00C31BC3" w:rsidRPr="00C61508">
        <w:rPr>
          <w:szCs w:val="24"/>
        </w:rPr>
        <w:t xml:space="preserve"> gove</w:t>
      </w:r>
      <w:r w:rsidR="00C31BC3" w:rsidRPr="00AF6C9B">
        <w:rPr>
          <w:szCs w:val="24"/>
        </w:rPr>
        <w:t xml:space="preserve">rnment to municipal governments included in the proposed new framework, Entity 31’s assessment base of </w:t>
      </w:r>
      <w:r w:rsidR="00AF6C9B" w:rsidRPr="00AF6C9B">
        <w:rPr>
          <w:rFonts w:eastAsia="Times New Roman"/>
          <w:color w:val="000000"/>
          <w:szCs w:val="24"/>
          <w:lang w:val="en-CA" w:eastAsia="en-CA"/>
        </w:rPr>
        <w:t xml:space="preserve">$322,165,100 </w:t>
      </w:r>
      <w:r w:rsidR="00C31BC3" w:rsidRPr="00AF6C9B">
        <w:rPr>
          <w:szCs w:val="24"/>
        </w:rPr>
        <w:t>wo</w:t>
      </w:r>
      <w:r w:rsidR="00C31BC3" w:rsidRPr="00B57F6B">
        <w:rPr>
          <w:szCs w:val="24"/>
        </w:rPr>
        <w:t>uld</w:t>
      </w:r>
      <w:r w:rsidR="00C31BC3" w:rsidRPr="00A26B00">
        <w:rPr>
          <w:szCs w:val="24"/>
        </w:rPr>
        <w:t xml:space="preserve"> also be able to yield more revenue than it could under the current local governance regime.</w:t>
      </w:r>
      <w:r w:rsidR="00EF347D">
        <w:rPr>
          <w:szCs w:val="24"/>
        </w:rPr>
        <w:t xml:space="preserve"> </w:t>
      </w:r>
      <w:r w:rsidR="00C31BC3" w:rsidRPr="004E399E">
        <w:rPr>
          <w:szCs w:val="24"/>
        </w:rPr>
        <w:t>Equal Opportunity among municipalities remains a priority in the new framework, but the primary guarantor of said equality is now tax warrants rather than equalization</w:t>
      </w:r>
      <w:r w:rsidR="00C31BC3">
        <w:t xml:space="preserve"> payments.</w:t>
      </w:r>
    </w:p>
    <w:p w14:paraId="61B53BEF" w14:textId="25285182" w:rsidR="00226288" w:rsidRPr="00226288" w:rsidRDefault="00226288" w:rsidP="00F05952">
      <w:pPr>
        <w:jc w:val="both"/>
      </w:pPr>
      <w:r w:rsidRPr="009A766E">
        <w:rPr>
          <w:szCs w:val="24"/>
        </w:rPr>
        <w:t>Of course, this</w:t>
      </w:r>
      <w:r w:rsidRPr="00226288">
        <w:t xml:space="preserve"> tax room transfer does not necessitate that property tax rates will increase by $1.50 per $100 of valuation across </w:t>
      </w:r>
      <w:r w:rsidR="00923496">
        <w:t>Entity 31</w:t>
      </w:r>
      <w:r w:rsidRPr="00226288">
        <w:t xml:space="preserve">, nor does it indicate that the entire municipality will operate with one uniform property tax rate. </w:t>
      </w:r>
      <w:r w:rsidRPr="00226288">
        <w:rPr>
          <w:rFonts w:eastAsia="Times New Roman"/>
          <w:szCs w:val="24"/>
        </w:rPr>
        <w:t xml:space="preserve">Because </w:t>
      </w:r>
      <w:r w:rsidR="00923496">
        <w:rPr>
          <w:rFonts w:eastAsia="Times New Roman"/>
          <w:szCs w:val="24"/>
        </w:rPr>
        <w:t>Entity 31</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74F82AFC" w:rsidR="00226288" w:rsidRPr="00226288" w:rsidRDefault="00226288" w:rsidP="00F05952">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F05952">
        <w:t xml:space="preserve">Entity </w:t>
      </w:r>
      <w:r w:rsidR="00923496">
        <w:t>31</w:t>
      </w:r>
      <w:r w:rsidR="003011C3">
        <w:t xml:space="preserve"> could easily implement a two tiered property tax regime similar to Fredericton and Dieppe where those inside the urban area and those outside are charged substantially different rates.  </w:t>
      </w:r>
    </w:p>
    <w:p w14:paraId="42654CD4" w14:textId="2AED7E73" w:rsidR="00226288" w:rsidRPr="00226288" w:rsidRDefault="00226288" w:rsidP="00F05952">
      <w:pPr>
        <w:jc w:val="both"/>
      </w:pPr>
      <w:r w:rsidRPr="00226288">
        <w:t xml:space="preserve">Overall, then, </w:t>
      </w:r>
      <w:r w:rsidR="00923496">
        <w:t>Entity 31</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288BB2F0" w:rsidR="00226288" w:rsidRPr="00226288" w:rsidRDefault="00226288" w:rsidP="00F05952">
      <w:pPr>
        <w:jc w:val="both"/>
        <w:rPr>
          <w:b/>
          <w:bCs/>
        </w:rPr>
      </w:pPr>
      <w:r w:rsidRPr="00226288">
        <w:rPr>
          <w:b/>
          <w:bCs/>
        </w:rPr>
        <w:t>Division of Municipal and Provincial Responsibilities</w:t>
      </w:r>
    </w:p>
    <w:p w14:paraId="3936984A" w14:textId="028A94F9" w:rsidR="00226288" w:rsidRPr="00226288" w:rsidRDefault="00226288" w:rsidP="00F05952">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w:t>
      </w:r>
      <w:r w:rsidRPr="00226288">
        <w:rPr>
          <w:rFonts w:eastAsia="Times New Roman"/>
          <w:szCs w:val="24"/>
        </w:rPr>
        <w:lastRenderedPageBreak/>
        <w:t xml:space="preserve">recreation, public transportation, and more. Whether or not this sort of expansion is done is entirely up to the residents of </w:t>
      </w:r>
      <w:r w:rsidR="00923496">
        <w:rPr>
          <w:rFonts w:eastAsia="Times New Roman"/>
          <w:szCs w:val="24"/>
        </w:rPr>
        <w:t>Entity 31</w:t>
      </w:r>
      <w:r w:rsidRPr="00226288">
        <w:rPr>
          <w:rFonts w:eastAsia="Times New Roman"/>
          <w:szCs w:val="24"/>
        </w:rPr>
        <w:t xml:space="preserve">, and the tax rates of the entity would reflect this level of service. </w:t>
      </w:r>
    </w:p>
    <w:p w14:paraId="7E7D20ED" w14:textId="19A54B6A" w:rsidR="00226288" w:rsidRPr="00226288" w:rsidRDefault="00226288" w:rsidP="00F05952">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0F8BA49B" w:rsidR="00226288" w:rsidRPr="00226288" w:rsidRDefault="00923496" w:rsidP="00F05952">
      <w:pPr>
        <w:jc w:val="both"/>
        <w:rPr>
          <w:rFonts w:eastAsia="Times New Roman"/>
          <w:szCs w:val="24"/>
        </w:rPr>
      </w:pPr>
      <w:r>
        <w:rPr>
          <w:rFonts w:eastAsia="Times New Roman"/>
          <w:szCs w:val="24"/>
        </w:rPr>
        <w:t>Entity 31</w:t>
      </w:r>
      <w:r w:rsidR="00226288" w:rsidRPr="00226288">
        <w:rPr>
          <w:rFonts w:eastAsia="Times New Roman"/>
          <w:szCs w:val="24"/>
        </w:rPr>
        <w:t xml:space="preserve"> would belong to </w:t>
      </w:r>
      <w:r w:rsidR="00706AE4">
        <w:rPr>
          <w:rFonts w:eastAsia="Times New Roman"/>
          <w:szCs w:val="24"/>
        </w:rPr>
        <w:t>RSD 7</w:t>
      </w:r>
      <w:r w:rsidR="00226288" w:rsidRPr="00226288">
        <w:rPr>
          <w:rFonts w:eastAsia="Times New Roman"/>
          <w:szCs w:val="24"/>
        </w:rPr>
        <w:t xml:space="preserve"> along with its </w:t>
      </w:r>
      <w:r w:rsidR="00EB1A37" w:rsidRPr="00226288">
        <w:rPr>
          <w:rFonts w:eastAsia="Times New Roman"/>
          <w:szCs w:val="24"/>
        </w:rPr>
        <w:t>neighbors</w:t>
      </w:r>
      <w:r w:rsidR="00226288" w:rsidRPr="00226288">
        <w:rPr>
          <w:rFonts w:eastAsia="Times New Roman"/>
          <w:szCs w:val="24"/>
        </w:rPr>
        <w:t xml:space="preserve"> Entities </w:t>
      </w:r>
      <w:bookmarkStart w:id="0" w:name="_Hlk40085397"/>
      <w:r w:rsidR="00D515A4">
        <w:rPr>
          <w:rFonts w:eastAsia="Times New Roman"/>
          <w:szCs w:val="24"/>
        </w:rPr>
        <w:t>2</w:t>
      </w:r>
      <w:r w:rsidR="002D1F21">
        <w:rPr>
          <w:rFonts w:eastAsia="Times New Roman"/>
          <w:szCs w:val="24"/>
        </w:rPr>
        <w:t>6, 27, 2</w:t>
      </w:r>
      <w:r w:rsidR="00CD14B9">
        <w:rPr>
          <w:rFonts w:eastAsia="Times New Roman"/>
          <w:szCs w:val="24"/>
        </w:rPr>
        <w:t>8</w:t>
      </w:r>
      <w:r w:rsidR="002D1F21">
        <w:rPr>
          <w:rFonts w:eastAsia="Times New Roman"/>
          <w:szCs w:val="24"/>
        </w:rPr>
        <w:t>, 30, 3</w:t>
      </w:r>
      <w:r>
        <w:rPr>
          <w:rFonts w:eastAsia="Times New Roman"/>
          <w:szCs w:val="24"/>
        </w:rPr>
        <w:t>2</w:t>
      </w:r>
      <w:r w:rsidR="002D1F21">
        <w:rPr>
          <w:rFonts w:eastAsia="Times New Roman"/>
          <w:szCs w:val="24"/>
        </w:rPr>
        <w:t>, 33, and 34</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7B368A3F" w:rsidR="00CB2BDF" w:rsidRDefault="008506F5" w:rsidP="00F05952">
      <w:pPr>
        <w:jc w:val="both"/>
        <w:rPr>
          <w:rFonts w:eastAsia="Times New Roman"/>
          <w:szCs w:val="24"/>
        </w:rPr>
      </w:pPr>
      <w:r>
        <w:rPr>
          <w:noProof/>
          <w:szCs w:val="24"/>
        </w:rPr>
        <w:drawing>
          <wp:anchor distT="0" distB="0" distL="114300" distR="114300" simplePos="0" relativeHeight="251659776" behindDoc="0" locked="0" layoutInCell="1" allowOverlap="1" wp14:anchorId="24279EC2" wp14:editId="68D0A081">
            <wp:simplePos x="0" y="0"/>
            <wp:positionH relativeFrom="column">
              <wp:posOffset>2331085</wp:posOffset>
            </wp:positionH>
            <wp:positionV relativeFrom="paragraph">
              <wp:posOffset>43392</wp:posOffset>
            </wp:positionV>
            <wp:extent cx="3612515" cy="2171700"/>
            <wp:effectExtent l="0" t="0" r="6985" b="0"/>
            <wp:wrapThrough wrapText="bothSides">
              <wp:wrapPolygon edited="0">
                <wp:start x="0" y="0"/>
                <wp:lineTo x="0" y="21411"/>
                <wp:lineTo x="21528" y="21411"/>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2515" cy="21717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w:t>
      </w:r>
      <w:r w:rsidR="00D743BF">
        <w:rPr>
          <w:rFonts w:eastAsia="Times New Roman"/>
          <w:szCs w:val="24"/>
        </w:rPr>
        <w:t>Likewise, nearly 60% of Albert county’s commuters travel outside their county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F05952">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F05952">
      <w:pPr>
        <w:jc w:val="both"/>
        <w:rPr>
          <w:rFonts w:eastAsia="Times New Roman"/>
          <w:b/>
          <w:bCs/>
          <w:szCs w:val="24"/>
        </w:rPr>
      </w:pPr>
      <w:r w:rsidRPr="00226288">
        <w:rPr>
          <w:rFonts w:eastAsia="Times New Roman"/>
          <w:b/>
          <w:bCs/>
          <w:szCs w:val="24"/>
        </w:rPr>
        <w:t>Summation</w:t>
      </w:r>
    </w:p>
    <w:p w14:paraId="2C0925F5" w14:textId="3070025F" w:rsidR="47626E9A" w:rsidRPr="006F2EED" w:rsidRDefault="00226288" w:rsidP="006F2EED">
      <w:pPr>
        <w:jc w:val="both"/>
        <w:rPr>
          <w:rFonts w:eastAsia="Times New Roman"/>
          <w:szCs w:val="24"/>
        </w:rPr>
      </w:pPr>
      <w:r w:rsidRPr="00226288">
        <w:rPr>
          <w:rFonts w:eastAsia="Times New Roman"/>
          <w:szCs w:val="24"/>
        </w:rPr>
        <w:t xml:space="preserve">Overall, </w:t>
      </w:r>
      <w:r w:rsidR="00923496">
        <w:rPr>
          <w:rFonts w:eastAsia="Times New Roman"/>
          <w:szCs w:val="24"/>
        </w:rPr>
        <w:t>Entity 31</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w:t>
      </w:r>
      <w:r w:rsidRPr="00226288">
        <w:rPr>
          <w:rFonts w:eastAsia="Times New Roman"/>
          <w:szCs w:val="24"/>
        </w:rPr>
        <w:lastRenderedPageBreak/>
        <w:t>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sectPr w:rsidR="47626E9A" w:rsidRPr="006F2EE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E0EC7" w14:textId="77777777" w:rsidR="008E4F15" w:rsidRDefault="008E4F15" w:rsidP="00533253">
      <w:pPr>
        <w:spacing w:after="0" w:line="240" w:lineRule="auto"/>
      </w:pPr>
      <w:r>
        <w:separator/>
      </w:r>
    </w:p>
  </w:endnote>
  <w:endnote w:type="continuationSeparator" w:id="0">
    <w:p w14:paraId="7612D0E1" w14:textId="77777777" w:rsidR="008E4F15" w:rsidRDefault="008E4F15" w:rsidP="00533253">
      <w:pPr>
        <w:spacing w:after="0" w:line="240" w:lineRule="auto"/>
      </w:pPr>
      <w:r>
        <w:continuationSeparator/>
      </w:r>
    </w:p>
  </w:endnote>
  <w:endnote w:type="continuationNotice" w:id="1">
    <w:p w14:paraId="332CF45A" w14:textId="77777777" w:rsidR="008E4F15" w:rsidRDefault="008E4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40787" w14:textId="77777777" w:rsidR="008E4F15" w:rsidRDefault="008E4F15" w:rsidP="00533253">
      <w:pPr>
        <w:spacing w:after="0" w:line="240" w:lineRule="auto"/>
      </w:pPr>
      <w:r>
        <w:separator/>
      </w:r>
    </w:p>
  </w:footnote>
  <w:footnote w:type="continuationSeparator" w:id="0">
    <w:p w14:paraId="63C42F5A" w14:textId="77777777" w:rsidR="008E4F15" w:rsidRDefault="008E4F15" w:rsidP="00533253">
      <w:pPr>
        <w:spacing w:after="0" w:line="240" w:lineRule="auto"/>
      </w:pPr>
      <w:r>
        <w:continuationSeparator/>
      </w:r>
    </w:p>
  </w:footnote>
  <w:footnote w:type="continuationNotice" w:id="1">
    <w:p w14:paraId="1D62AE35" w14:textId="77777777" w:rsidR="008E4F15" w:rsidRDefault="008E4F15">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07AEF"/>
    <w:rsid w:val="00011EC1"/>
    <w:rsid w:val="00015BE1"/>
    <w:rsid w:val="00022DE1"/>
    <w:rsid w:val="000238B0"/>
    <w:rsid w:val="00024CFD"/>
    <w:rsid w:val="000259AF"/>
    <w:rsid w:val="00025F29"/>
    <w:rsid w:val="00031575"/>
    <w:rsid w:val="00031BC5"/>
    <w:rsid w:val="000356BA"/>
    <w:rsid w:val="000361EA"/>
    <w:rsid w:val="000366A7"/>
    <w:rsid w:val="00037D03"/>
    <w:rsid w:val="0004189C"/>
    <w:rsid w:val="000467DA"/>
    <w:rsid w:val="00047B47"/>
    <w:rsid w:val="00050419"/>
    <w:rsid w:val="000521C5"/>
    <w:rsid w:val="00054665"/>
    <w:rsid w:val="0005610E"/>
    <w:rsid w:val="00056919"/>
    <w:rsid w:val="00061B5D"/>
    <w:rsid w:val="00062C5C"/>
    <w:rsid w:val="0006709B"/>
    <w:rsid w:val="0007121F"/>
    <w:rsid w:val="000726CD"/>
    <w:rsid w:val="0007315E"/>
    <w:rsid w:val="00074531"/>
    <w:rsid w:val="00075B67"/>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3547"/>
    <w:rsid w:val="000C483C"/>
    <w:rsid w:val="000D0004"/>
    <w:rsid w:val="000D0C37"/>
    <w:rsid w:val="000D539E"/>
    <w:rsid w:val="000D7B94"/>
    <w:rsid w:val="000D7F02"/>
    <w:rsid w:val="000E0371"/>
    <w:rsid w:val="000E0B96"/>
    <w:rsid w:val="000F062C"/>
    <w:rsid w:val="000F56D9"/>
    <w:rsid w:val="000F5759"/>
    <w:rsid w:val="000F5A77"/>
    <w:rsid w:val="000F737F"/>
    <w:rsid w:val="000F7938"/>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971"/>
    <w:rsid w:val="00156AEF"/>
    <w:rsid w:val="001577D4"/>
    <w:rsid w:val="001618D5"/>
    <w:rsid w:val="00162133"/>
    <w:rsid w:val="00163993"/>
    <w:rsid w:val="001640B8"/>
    <w:rsid w:val="001713C5"/>
    <w:rsid w:val="00171BE4"/>
    <w:rsid w:val="00171F0E"/>
    <w:rsid w:val="00172214"/>
    <w:rsid w:val="00181A0E"/>
    <w:rsid w:val="00182F1D"/>
    <w:rsid w:val="00183857"/>
    <w:rsid w:val="00190B92"/>
    <w:rsid w:val="00191519"/>
    <w:rsid w:val="00194CEE"/>
    <w:rsid w:val="00195492"/>
    <w:rsid w:val="001961F9"/>
    <w:rsid w:val="001A0135"/>
    <w:rsid w:val="001A086F"/>
    <w:rsid w:val="001A4616"/>
    <w:rsid w:val="001A4A6F"/>
    <w:rsid w:val="001A5EB0"/>
    <w:rsid w:val="001B0FF6"/>
    <w:rsid w:val="001B197B"/>
    <w:rsid w:val="001B2623"/>
    <w:rsid w:val="001B479C"/>
    <w:rsid w:val="001B4F0F"/>
    <w:rsid w:val="001B4F70"/>
    <w:rsid w:val="001C2040"/>
    <w:rsid w:val="001C359A"/>
    <w:rsid w:val="001C38B6"/>
    <w:rsid w:val="001D00C9"/>
    <w:rsid w:val="001D0154"/>
    <w:rsid w:val="001D2F8A"/>
    <w:rsid w:val="001D5074"/>
    <w:rsid w:val="001D6C80"/>
    <w:rsid w:val="001E7839"/>
    <w:rsid w:val="001F1365"/>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3451"/>
    <w:rsid w:val="00224499"/>
    <w:rsid w:val="00226288"/>
    <w:rsid w:val="0022645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76A79"/>
    <w:rsid w:val="002821E2"/>
    <w:rsid w:val="00282A5E"/>
    <w:rsid w:val="0028389A"/>
    <w:rsid w:val="00284076"/>
    <w:rsid w:val="00284211"/>
    <w:rsid w:val="00286D97"/>
    <w:rsid w:val="0028792A"/>
    <w:rsid w:val="00290DE5"/>
    <w:rsid w:val="00291052"/>
    <w:rsid w:val="00292553"/>
    <w:rsid w:val="00293FAE"/>
    <w:rsid w:val="00294052"/>
    <w:rsid w:val="00294E20"/>
    <w:rsid w:val="00295D44"/>
    <w:rsid w:val="00296040"/>
    <w:rsid w:val="00297AC6"/>
    <w:rsid w:val="002A5FBA"/>
    <w:rsid w:val="002A769B"/>
    <w:rsid w:val="002B165A"/>
    <w:rsid w:val="002B3451"/>
    <w:rsid w:val="002B6EB3"/>
    <w:rsid w:val="002B7188"/>
    <w:rsid w:val="002B7BBD"/>
    <w:rsid w:val="002C3552"/>
    <w:rsid w:val="002C44D3"/>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E9F"/>
    <w:rsid w:val="00351F4C"/>
    <w:rsid w:val="0035403A"/>
    <w:rsid w:val="00354F92"/>
    <w:rsid w:val="003561B9"/>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5CE"/>
    <w:rsid w:val="003A20BA"/>
    <w:rsid w:val="003A22CB"/>
    <w:rsid w:val="003A2E7D"/>
    <w:rsid w:val="003A431A"/>
    <w:rsid w:val="003A4C02"/>
    <w:rsid w:val="003B03C3"/>
    <w:rsid w:val="003B108F"/>
    <w:rsid w:val="003B18DC"/>
    <w:rsid w:val="003B1FCD"/>
    <w:rsid w:val="003B2A08"/>
    <w:rsid w:val="003B3F3D"/>
    <w:rsid w:val="003B448F"/>
    <w:rsid w:val="003C2229"/>
    <w:rsid w:val="003C2DA4"/>
    <w:rsid w:val="003C3DFA"/>
    <w:rsid w:val="003C47BF"/>
    <w:rsid w:val="003D3F4B"/>
    <w:rsid w:val="003D69F7"/>
    <w:rsid w:val="003D7C66"/>
    <w:rsid w:val="003E1657"/>
    <w:rsid w:val="003E31DA"/>
    <w:rsid w:val="003E381F"/>
    <w:rsid w:val="003E41B8"/>
    <w:rsid w:val="003E682B"/>
    <w:rsid w:val="003F2CF4"/>
    <w:rsid w:val="003F37E5"/>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4120"/>
    <w:rsid w:val="004B618F"/>
    <w:rsid w:val="004B6A9C"/>
    <w:rsid w:val="004B75B8"/>
    <w:rsid w:val="004C0A6B"/>
    <w:rsid w:val="004C2705"/>
    <w:rsid w:val="004C2B8E"/>
    <w:rsid w:val="004C36B5"/>
    <w:rsid w:val="004C50F2"/>
    <w:rsid w:val="004C7794"/>
    <w:rsid w:val="004D1279"/>
    <w:rsid w:val="004D2B15"/>
    <w:rsid w:val="004D2B1B"/>
    <w:rsid w:val="004D3EFB"/>
    <w:rsid w:val="004D50FF"/>
    <w:rsid w:val="004D57D8"/>
    <w:rsid w:val="004D73FC"/>
    <w:rsid w:val="004D7C08"/>
    <w:rsid w:val="004E08B0"/>
    <w:rsid w:val="004E3A68"/>
    <w:rsid w:val="004E40A6"/>
    <w:rsid w:val="004E41E0"/>
    <w:rsid w:val="004E4D77"/>
    <w:rsid w:val="004E4F6D"/>
    <w:rsid w:val="004E778B"/>
    <w:rsid w:val="004E7E7A"/>
    <w:rsid w:val="004F155E"/>
    <w:rsid w:val="004F18A7"/>
    <w:rsid w:val="004F5875"/>
    <w:rsid w:val="004F61D7"/>
    <w:rsid w:val="004F62AE"/>
    <w:rsid w:val="004F6565"/>
    <w:rsid w:val="004F7378"/>
    <w:rsid w:val="005015A8"/>
    <w:rsid w:val="00503949"/>
    <w:rsid w:val="00503E48"/>
    <w:rsid w:val="005059B1"/>
    <w:rsid w:val="00510189"/>
    <w:rsid w:val="005219AD"/>
    <w:rsid w:val="00521FC4"/>
    <w:rsid w:val="005238F9"/>
    <w:rsid w:val="00523BD5"/>
    <w:rsid w:val="005262CC"/>
    <w:rsid w:val="0052684C"/>
    <w:rsid w:val="00526874"/>
    <w:rsid w:val="00527613"/>
    <w:rsid w:val="0053143D"/>
    <w:rsid w:val="00532617"/>
    <w:rsid w:val="00533253"/>
    <w:rsid w:val="005335FD"/>
    <w:rsid w:val="005336CE"/>
    <w:rsid w:val="00536AD2"/>
    <w:rsid w:val="00540C77"/>
    <w:rsid w:val="00542F95"/>
    <w:rsid w:val="00544386"/>
    <w:rsid w:val="00544F68"/>
    <w:rsid w:val="0055074D"/>
    <w:rsid w:val="00552762"/>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57EBA"/>
    <w:rsid w:val="00661053"/>
    <w:rsid w:val="006635AB"/>
    <w:rsid w:val="00663713"/>
    <w:rsid w:val="006666D0"/>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5C01"/>
    <w:rsid w:val="006C6FD9"/>
    <w:rsid w:val="006C719D"/>
    <w:rsid w:val="006D06E8"/>
    <w:rsid w:val="006D179F"/>
    <w:rsid w:val="006D3C9F"/>
    <w:rsid w:val="006D6A15"/>
    <w:rsid w:val="006D7411"/>
    <w:rsid w:val="006E0F70"/>
    <w:rsid w:val="006E1370"/>
    <w:rsid w:val="006E13F5"/>
    <w:rsid w:val="006E18B2"/>
    <w:rsid w:val="006E3460"/>
    <w:rsid w:val="006F1B6E"/>
    <w:rsid w:val="006F202E"/>
    <w:rsid w:val="006F2EED"/>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41C67"/>
    <w:rsid w:val="007540B3"/>
    <w:rsid w:val="0075617E"/>
    <w:rsid w:val="00756739"/>
    <w:rsid w:val="007612BE"/>
    <w:rsid w:val="0076188A"/>
    <w:rsid w:val="00761CCB"/>
    <w:rsid w:val="00762C21"/>
    <w:rsid w:val="00763C0B"/>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3B1E"/>
    <w:rsid w:val="007C0872"/>
    <w:rsid w:val="007C1C58"/>
    <w:rsid w:val="007C3850"/>
    <w:rsid w:val="007C3C5E"/>
    <w:rsid w:val="007C3DD7"/>
    <w:rsid w:val="007C79CD"/>
    <w:rsid w:val="007D145D"/>
    <w:rsid w:val="007D42D4"/>
    <w:rsid w:val="007E0F92"/>
    <w:rsid w:val="007E140A"/>
    <w:rsid w:val="007E536B"/>
    <w:rsid w:val="007E5CE4"/>
    <w:rsid w:val="007E603E"/>
    <w:rsid w:val="007E6535"/>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4815"/>
    <w:rsid w:val="0083593A"/>
    <w:rsid w:val="00835E77"/>
    <w:rsid w:val="00836415"/>
    <w:rsid w:val="008367A9"/>
    <w:rsid w:val="00840403"/>
    <w:rsid w:val="00841162"/>
    <w:rsid w:val="00842249"/>
    <w:rsid w:val="0084239C"/>
    <w:rsid w:val="008434D1"/>
    <w:rsid w:val="0084431F"/>
    <w:rsid w:val="008506F5"/>
    <w:rsid w:val="008508C3"/>
    <w:rsid w:val="00852005"/>
    <w:rsid w:val="0085387B"/>
    <w:rsid w:val="00853E3A"/>
    <w:rsid w:val="00855D67"/>
    <w:rsid w:val="0086227A"/>
    <w:rsid w:val="00862A5B"/>
    <w:rsid w:val="00866A57"/>
    <w:rsid w:val="008674DC"/>
    <w:rsid w:val="00871BA6"/>
    <w:rsid w:val="00872051"/>
    <w:rsid w:val="00874E94"/>
    <w:rsid w:val="00876569"/>
    <w:rsid w:val="00877A83"/>
    <w:rsid w:val="008806C2"/>
    <w:rsid w:val="00880DC2"/>
    <w:rsid w:val="00881CAD"/>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4F15"/>
    <w:rsid w:val="008E5BF4"/>
    <w:rsid w:val="008F1A52"/>
    <w:rsid w:val="008F227F"/>
    <w:rsid w:val="008F3D10"/>
    <w:rsid w:val="008F429E"/>
    <w:rsid w:val="008F77A7"/>
    <w:rsid w:val="00901B98"/>
    <w:rsid w:val="00902E69"/>
    <w:rsid w:val="0090316A"/>
    <w:rsid w:val="0090440E"/>
    <w:rsid w:val="00906535"/>
    <w:rsid w:val="00907990"/>
    <w:rsid w:val="009106B0"/>
    <w:rsid w:val="00910DAD"/>
    <w:rsid w:val="009113A3"/>
    <w:rsid w:val="00914776"/>
    <w:rsid w:val="00915C3C"/>
    <w:rsid w:val="00916094"/>
    <w:rsid w:val="0092049E"/>
    <w:rsid w:val="00923496"/>
    <w:rsid w:val="009256B7"/>
    <w:rsid w:val="00930141"/>
    <w:rsid w:val="00930CE8"/>
    <w:rsid w:val="00937062"/>
    <w:rsid w:val="0094032D"/>
    <w:rsid w:val="009407F0"/>
    <w:rsid w:val="009424CD"/>
    <w:rsid w:val="00943184"/>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0988"/>
    <w:rsid w:val="0099267E"/>
    <w:rsid w:val="00992946"/>
    <w:rsid w:val="00993135"/>
    <w:rsid w:val="00993AFC"/>
    <w:rsid w:val="009943E5"/>
    <w:rsid w:val="00995841"/>
    <w:rsid w:val="0099681E"/>
    <w:rsid w:val="009A23C7"/>
    <w:rsid w:val="009A2CEB"/>
    <w:rsid w:val="009A3B95"/>
    <w:rsid w:val="009A458A"/>
    <w:rsid w:val="009A54EE"/>
    <w:rsid w:val="009A608F"/>
    <w:rsid w:val="009A6210"/>
    <w:rsid w:val="009A766E"/>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D6697"/>
    <w:rsid w:val="009D7896"/>
    <w:rsid w:val="009E008A"/>
    <w:rsid w:val="009E0814"/>
    <w:rsid w:val="009E1870"/>
    <w:rsid w:val="009E27E2"/>
    <w:rsid w:val="009E282B"/>
    <w:rsid w:val="009E34FE"/>
    <w:rsid w:val="009E5962"/>
    <w:rsid w:val="009F25C7"/>
    <w:rsid w:val="009F56DC"/>
    <w:rsid w:val="009F5BA0"/>
    <w:rsid w:val="00A00C83"/>
    <w:rsid w:val="00A02383"/>
    <w:rsid w:val="00A02439"/>
    <w:rsid w:val="00A03051"/>
    <w:rsid w:val="00A04221"/>
    <w:rsid w:val="00A0784D"/>
    <w:rsid w:val="00A20D5A"/>
    <w:rsid w:val="00A22AC6"/>
    <w:rsid w:val="00A236FC"/>
    <w:rsid w:val="00A254F0"/>
    <w:rsid w:val="00A25514"/>
    <w:rsid w:val="00A25B67"/>
    <w:rsid w:val="00A26BCF"/>
    <w:rsid w:val="00A26F85"/>
    <w:rsid w:val="00A27295"/>
    <w:rsid w:val="00A27EAA"/>
    <w:rsid w:val="00A33695"/>
    <w:rsid w:val="00A36538"/>
    <w:rsid w:val="00A41E32"/>
    <w:rsid w:val="00A4208B"/>
    <w:rsid w:val="00A43C84"/>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A1DDD"/>
    <w:rsid w:val="00AA2339"/>
    <w:rsid w:val="00AA2F30"/>
    <w:rsid w:val="00AA5A47"/>
    <w:rsid w:val="00AA710E"/>
    <w:rsid w:val="00AB0E52"/>
    <w:rsid w:val="00AB3720"/>
    <w:rsid w:val="00AB403F"/>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EE4"/>
    <w:rsid w:val="00AE1691"/>
    <w:rsid w:val="00AE2E67"/>
    <w:rsid w:val="00AE33F2"/>
    <w:rsid w:val="00AE3796"/>
    <w:rsid w:val="00AE3CB9"/>
    <w:rsid w:val="00AE4608"/>
    <w:rsid w:val="00AE4C15"/>
    <w:rsid w:val="00AE6257"/>
    <w:rsid w:val="00AE7BAB"/>
    <w:rsid w:val="00AF2389"/>
    <w:rsid w:val="00AF35D4"/>
    <w:rsid w:val="00AF3C9F"/>
    <w:rsid w:val="00AF4058"/>
    <w:rsid w:val="00AF6180"/>
    <w:rsid w:val="00AF6C9B"/>
    <w:rsid w:val="00B0029A"/>
    <w:rsid w:val="00B00DE4"/>
    <w:rsid w:val="00B043E8"/>
    <w:rsid w:val="00B04902"/>
    <w:rsid w:val="00B04E40"/>
    <w:rsid w:val="00B04E8A"/>
    <w:rsid w:val="00B06644"/>
    <w:rsid w:val="00B125F3"/>
    <w:rsid w:val="00B13F0C"/>
    <w:rsid w:val="00B1639B"/>
    <w:rsid w:val="00B22085"/>
    <w:rsid w:val="00B2583B"/>
    <w:rsid w:val="00B27530"/>
    <w:rsid w:val="00B27F26"/>
    <w:rsid w:val="00B34A7B"/>
    <w:rsid w:val="00B34DEA"/>
    <w:rsid w:val="00B3507E"/>
    <w:rsid w:val="00B3746E"/>
    <w:rsid w:val="00B423DA"/>
    <w:rsid w:val="00B42FA9"/>
    <w:rsid w:val="00B44BBB"/>
    <w:rsid w:val="00B45303"/>
    <w:rsid w:val="00B478D5"/>
    <w:rsid w:val="00B47BAA"/>
    <w:rsid w:val="00B51104"/>
    <w:rsid w:val="00B52B2B"/>
    <w:rsid w:val="00B53197"/>
    <w:rsid w:val="00B53E52"/>
    <w:rsid w:val="00B57FE0"/>
    <w:rsid w:val="00B61A5B"/>
    <w:rsid w:val="00B6278E"/>
    <w:rsid w:val="00B71E09"/>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3198"/>
    <w:rsid w:val="00BC5E82"/>
    <w:rsid w:val="00BD319A"/>
    <w:rsid w:val="00BD6ED4"/>
    <w:rsid w:val="00BE1438"/>
    <w:rsid w:val="00BE3848"/>
    <w:rsid w:val="00BE3C41"/>
    <w:rsid w:val="00BE42B4"/>
    <w:rsid w:val="00BE43FB"/>
    <w:rsid w:val="00BE4F8D"/>
    <w:rsid w:val="00BE604A"/>
    <w:rsid w:val="00BF055E"/>
    <w:rsid w:val="00BF1884"/>
    <w:rsid w:val="00BF687D"/>
    <w:rsid w:val="00BF7E3F"/>
    <w:rsid w:val="00C06DB3"/>
    <w:rsid w:val="00C11068"/>
    <w:rsid w:val="00C12870"/>
    <w:rsid w:val="00C132BD"/>
    <w:rsid w:val="00C1414C"/>
    <w:rsid w:val="00C16AFC"/>
    <w:rsid w:val="00C17C4A"/>
    <w:rsid w:val="00C23179"/>
    <w:rsid w:val="00C23508"/>
    <w:rsid w:val="00C24EAB"/>
    <w:rsid w:val="00C31123"/>
    <w:rsid w:val="00C311F0"/>
    <w:rsid w:val="00C31BC3"/>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435D"/>
    <w:rsid w:val="00C65D8B"/>
    <w:rsid w:val="00C660A3"/>
    <w:rsid w:val="00C66FB1"/>
    <w:rsid w:val="00C72451"/>
    <w:rsid w:val="00C72BA8"/>
    <w:rsid w:val="00C73761"/>
    <w:rsid w:val="00C76A53"/>
    <w:rsid w:val="00C77FBF"/>
    <w:rsid w:val="00C810CF"/>
    <w:rsid w:val="00C815EB"/>
    <w:rsid w:val="00C81905"/>
    <w:rsid w:val="00C81C1B"/>
    <w:rsid w:val="00C83C0F"/>
    <w:rsid w:val="00C8586B"/>
    <w:rsid w:val="00C87391"/>
    <w:rsid w:val="00C87E27"/>
    <w:rsid w:val="00C942CD"/>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14B9"/>
    <w:rsid w:val="00CD4433"/>
    <w:rsid w:val="00CD569B"/>
    <w:rsid w:val="00CD7718"/>
    <w:rsid w:val="00CD7AC1"/>
    <w:rsid w:val="00CE2F66"/>
    <w:rsid w:val="00CE7A05"/>
    <w:rsid w:val="00CF02AF"/>
    <w:rsid w:val="00CF1F1C"/>
    <w:rsid w:val="00CF2D86"/>
    <w:rsid w:val="00CF4B9F"/>
    <w:rsid w:val="00CF548C"/>
    <w:rsid w:val="00CF6289"/>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2F71"/>
    <w:rsid w:val="00D63234"/>
    <w:rsid w:val="00D66F81"/>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4D4A"/>
    <w:rsid w:val="00DA57E7"/>
    <w:rsid w:val="00DA588C"/>
    <w:rsid w:val="00DA6D14"/>
    <w:rsid w:val="00DB11A2"/>
    <w:rsid w:val="00DB305D"/>
    <w:rsid w:val="00DB4886"/>
    <w:rsid w:val="00DB58AA"/>
    <w:rsid w:val="00DB6073"/>
    <w:rsid w:val="00DC1911"/>
    <w:rsid w:val="00DC1D89"/>
    <w:rsid w:val="00DC3C74"/>
    <w:rsid w:val="00DC4727"/>
    <w:rsid w:val="00DC5957"/>
    <w:rsid w:val="00DC5ED3"/>
    <w:rsid w:val="00DC6D5B"/>
    <w:rsid w:val="00DC75B9"/>
    <w:rsid w:val="00DD0418"/>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02E16"/>
    <w:rsid w:val="00E1004A"/>
    <w:rsid w:val="00E112D9"/>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6DA0"/>
    <w:rsid w:val="00E736B0"/>
    <w:rsid w:val="00E74444"/>
    <w:rsid w:val="00E76A76"/>
    <w:rsid w:val="00E81435"/>
    <w:rsid w:val="00E8279A"/>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4783"/>
    <w:rsid w:val="00EE766E"/>
    <w:rsid w:val="00EE797B"/>
    <w:rsid w:val="00EF051C"/>
    <w:rsid w:val="00EF347D"/>
    <w:rsid w:val="00F0075E"/>
    <w:rsid w:val="00F04726"/>
    <w:rsid w:val="00F05952"/>
    <w:rsid w:val="00F06AB9"/>
    <w:rsid w:val="00F0787F"/>
    <w:rsid w:val="00F11EA0"/>
    <w:rsid w:val="00F133CF"/>
    <w:rsid w:val="00F143DB"/>
    <w:rsid w:val="00F14B01"/>
    <w:rsid w:val="00F16AC2"/>
    <w:rsid w:val="00F1745B"/>
    <w:rsid w:val="00F21BE9"/>
    <w:rsid w:val="00F21D2A"/>
    <w:rsid w:val="00F2530B"/>
    <w:rsid w:val="00F256FD"/>
    <w:rsid w:val="00F26003"/>
    <w:rsid w:val="00F26296"/>
    <w:rsid w:val="00F31C17"/>
    <w:rsid w:val="00F32FFB"/>
    <w:rsid w:val="00F33BB9"/>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31D7"/>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A56A5"/>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66406196">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0749673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56A69-132B-4D93-89FF-7F307BB0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46</cp:revision>
  <dcterms:created xsi:type="dcterms:W3CDTF">2020-05-11T15:47:00Z</dcterms:created>
  <dcterms:modified xsi:type="dcterms:W3CDTF">2020-05-29T18:57:00Z</dcterms:modified>
</cp:coreProperties>
</file>