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621D4513" w:rsidR="00226288" w:rsidRPr="00226288" w:rsidRDefault="00226288" w:rsidP="00226288">
      <w:pPr>
        <w:numPr>
          <w:ilvl w:val="0"/>
          <w:numId w:val="3"/>
        </w:numPr>
        <w:spacing w:line="480" w:lineRule="auto"/>
        <w:contextualSpacing/>
      </w:pPr>
      <w:r w:rsidRPr="00226288">
        <w:t xml:space="preserve">An </w:t>
      </w:r>
      <w:r w:rsidR="00081AC4">
        <w:t>Image</w:t>
      </w:r>
      <w:r w:rsidRPr="00226288">
        <w:t xml:space="preserve"> of the Future – </w:t>
      </w:r>
      <w:r w:rsidR="001B0CCA">
        <w:t>Entity 33</w:t>
      </w:r>
      <w:r w:rsidRPr="00226288">
        <w:t xml:space="preserve"> and Regional Service District </w:t>
      </w:r>
      <w:r w:rsidR="00706AE4">
        <w:t>7</w:t>
      </w:r>
    </w:p>
    <w:p w14:paraId="70CB123F" w14:textId="62FFBF20"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1B0CCA">
        <w:rPr>
          <w:rFonts w:eastAsia="Times New Roman"/>
        </w:rPr>
        <w:t>Entity 33</w:t>
      </w:r>
      <w:r w:rsidR="006736F1">
        <w:rPr>
          <w:rFonts w:eastAsia="Times New Roman"/>
        </w:rPr>
        <w:t>.</w:t>
      </w:r>
      <w:r w:rsidRPr="00226288">
        <w:rPr>
          <w:rFonts w:eastAsia="Times New Roman"/>
        </w:rPr>
        <w:t xml:space="preserve"> For the duration of this discussion the municipality shall be referred to as </w:t>
      </w:r>
      <w:r w:rsidR="001B0CCA">
        <w:rPr>
          <w:rFonts w:eastAsia="Times New Roman"/>
        </w:rPr>
        <w:t>Entity 33</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A271D1">
        <w:rPr>
          <w:rFonts w:eastAsia="Times New Roman"/>
        </w:rPr>
        <w:t>Riverview</w:t>
      </w:r>
      <w:r w:rsidR="00E03255">
        <w:rPr>
          <w:rFonts w:eastAsia="Times New Roman"/>
        </w:rPr>
        <w:t>,</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40B4781" w:rsidR="00226288" w:rsidRPr="00226288" w:rsidRDefault="00E03255" w:rsidP="00226288">
      <w:pPr>
        <w:rPr>
          <w:b/>
          <w:bCs/>
        </w:rPr>
      </w:pPr>
      <w:r>
        <w:rPr>
          <w:noProof/>
          <w:szCs w:val="24"/>
        </w:rPr>
        <w:drawing>
          <wp:anchor distT="0" distB="0" distL="114300" distR="114300" simplePos="0" relativeHeight="251657728" behindDoc="0" locked="0" layoutInCell="1" allowOverlap="1" wp14:anchorId="4E73665D" wp14:editId="01DFB093">
            <wp:simplePos x="0" y="0"/>
            <wp:positionH relativeFrom="column">
              <wp:posOffset>4000500</wp:posOffset>
            </wp:positionH>
            <wp:positionV relativeFrom="paragraph">
              <wp:posOffset>-1905</wp:posOffset>
            </wp:positionV>
            <wp:extent cx="1938020" cy="1624965"/>
            <wp:effectExtent l="0" t="0" r="5080" b="0"/>
            <wp:wrapThrough wrapText="bothSides">
              <wp:wrapPolygon edited="0">
                <wp:start x="425" y="0"/>
                <wp:lineTo x="0" y="760"/>
                <wp:lineTo x="0" y="20511"/>
                <wp:lineTo x="425" y="21271"/>
                <wp:lineTo x="21020" y="21271"/>
                <wp:lineTo x="21444" y="20511"/>
                <wp:lineTo x="21444" y="760"/>
                <wp:lineTo x="21020" y="0"/>
                <wp:lineTo x="42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8085" t="33549" r="49405" b="48998"/>
                    <a:stretch/>
                  </pic:blipFill>
                  <pic:spPr bwMode="auto">
                    <a:xfrm>
                      <a:off x="0" y="0"/>
                      <a:ext cx="1938020" cy="162496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709CD5F1" w:rsidR="007C1C58" w:rsidRPr="003E682B" w:rsidRDefault="001B0CCA" w:rsidP="00400E1B">
      <w:pPr>
        <w:jc w:val="both"/>
        <w:rPr>
          <w:rFonts w:eastAsia="Times New Roman"/>
          <w:color w:val="000000"/>
          <w:sz w:val="20"/>
          <w:szCs w:val="20"/>
          <w:lang w:val="en-CA" w:eastAsia="en-CA"/>
        </w:rPr>
      </w:pPr>
      <w:r>
        <w:rPr>
          <w:szCs w:val="24"/>
        </w:rPr>
        <w:t>Entity 33</w:t>
      </w:r>
      <w:r w:rsidR="00D02067">
        <w:rPr>
          <w:szCs w:val="24"/>
        </w:rPr>
        <w:t xml:space="preserve"> </w:t>
      </w:r>
      <w:r w:rsidR="00D02067" w:rsidRPr="003E682B">
        <w:rPr>
          <w:szCs w:val="24"/>
        </w:rPr>
        <w:t xml:space="preserve">would be comprised of </w:t>
      </w:r>
      <w:r w:rsidR="00CA333E" w:rsidRPr="003E682B">
        <w:rPr>
          <w:szCs w:val="24"/>
        </w:rPr>
        <w:t xml:space="preserve">the </w:t>
      </w:r>
      <w:r w:rsidR="00034174">
        <w:rPr>
          <w:szCs w:val="24"/>
        </w:rPr>
        <w:t>Town of Riverview</w:t>
      </w:r>
      <w:r w:rsidR="000071C6">
        <w:rPr>
          <w:szCs w:val="24"/>
        </w:rPr>
        <w:t xml:space="preserve"> and </w:t>
      </w:r>
      <w:r w:rsidR="00034174">
        <w:rPr>
          <w:szCs w:val="24"/>
        </w:rPr>
        <w:t>approximately half of Coverdale</w:t>
      </w:r>
      <w:r w:rsidR="00825261">
        <w:rPr>
          <w:szCs w:val="24"/>
        </w:rPr>
        <w:t xml:space="preserve"> LSD</w:t>
      </w:r>
      <w:r w:rsidR="0058183A" w:rsidRPr="003E682B">
        <w:rPr>
          <w:szCs w:val="24"/>
        </w:rPr>
        <w:t>.</w:t>
      </w:r>
      <w:r w:rsidR="00D45B8F">
        <w:rPr>
          <w:szCs w:val="24"/>
        </w:rPr>
        <w:t xml:space="preserve"> </w:t>
      </w:r>
      <w:proofErr w:type="gramStart"/>
      <w:r w:rsidR="00C0741B">
        <w:rPr>
          <w:szCs w:val="24"/>
        </w:rPr>
        <w:t>The majority of</w:t>
      </w:r>
      <w:proofErr w:type="gramEnd"/>
      <w:r w:rsidR="00C0741B">
        <w:rPr>
          <w:szCs w:val="24"/>
        </w:rPr>
        <w:t xml:space="preserve"> this included portion of Coverdale would be primarily comprised of </w:t>
      </w:r>
      <w:r w:rsidR="00FF54CC">
        <w:rPr>
          <w:szCs w:val="24"/>
        </w:rPr>
        <w:t>Crown Lands.</w:t>
      </w:r>
      <w:r w:rsidR="000F7AB3">
        <w:rPr>
          <w:szCs w:val="24"/>
        </w:rPr>
        <w:t xml:space="preserve"> As with the other municipal entities contiguous </w:t>
      </w:r>
      <w:r w:rsidR="008A7796">
        <w:rPr>
          <w:szCs w:val="24"/>
        </w:rPr>
        <w:t xml:space="preserve">with Moncton, </w:t>
      </w:r>
      <w:r>
        <w:rPr>
          <w:szCs w:val="24"/>
        </w:rPr>
        <w:t>Entity 33</w:t>
      </w:r>
      <w:r w:rsidR="008A7796">
        <w:rPr>
          <w:szCs w:val="24"/>
        </w:rPr>
        <w:t xml:space="preserve"> would be considerably smaller than most of the other proposed municipal entities. </w:t>
      </w:r>
      <w:r w:rsidR="00510593">
        <w:rPr>
          <w:szCs w:val="24"/>
        </w:rPr>
        <w:t>The three municipalities remain separated in the new framework, however, in order to better support the newly incorporated areas which each of the three entities absorb.</w:t>
      </w:r>
    </w:p>
    <w:p w14:paraId="4750B350" w14:textId="7A9A4E6F" w:rsidR="00226288" w:rsidRPr="00226288" w:rsidRDefault="00226288" w:rsidP="00226288">
      <w:pPr>
        <w:rPr>
          <w:rFonts w:eastAsia="Times New Roman"/>
          <w:b/>
          <w:bCs/>
        </w:rPr>
      </w:pPr>
      <w:r w:rsidRPr="00226288">
        <w:rPr>
          <w:rFonts w:eastAsia="Times New Roman"/>
          <w:b/>
          <w:bCs/>
        </w:rPr>
        <w:t>Demographic Base</w:t>
      </w:r>
    </w:p>
    <w:p w14:paraId="4A234E1E" w14:textId="007A6E38" w:rsidR="00990988" w:rsidRDefault="00226288" w:rsidP="00400E1B">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5B0E70">
        <w:rPr>
          <w:rFonts w:eastAsia="Times New Roman"/>
          <w:color w:val="000000" w:themeColor="text1"/>
          <w:szCs w:val="24"/>
        </w:rPr>
        <w:t>21900</w:t>
      </w:r>
      <w:r w:rsidR="003002B5">
        <w:rPr>
          <w:szCs w:val="24"/>
        </w:rPr>
        <w:t xml:space="preserve"> p</w:t>
      </w:r>
      <w:r w:rsidR="006437C2">
        <w:rPr>
          <w:szCs w:val="24"/>
        </w:rPr>
        <w:t>eopl</w:t>
      </w:r>
      <w:r w:rsidR="00DF2084">
        <w:rPr>
          <w:szCs w:val="24"/>
        </w:rPr>
        <w:t>e</w:t>
      </w:r>
      <w:r w:rsidR="00283C29">
        <w:rPr>
          <w:szCs w:val="24"/>
        </w:rPr>
        <w:t xml:space="preserve"> – an increase of </w:t>
      </w:r>
      <w:r w:rsidR="00B43367">
        <w:rPr>
          <w:szCs w:val="24"/>
        </w:rPr>
        <w:t>2</w:t>
      </w:r>
      <w:r w:rsidR="00283C29">
        <w:rPr>
          <w:szCs w:val="24"/>
        </w:rPr>
        <w:t>% from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1B0CCA">
        <w:rPr>
          <w:rFonts w:eastAsia="Times New Roman"/>
          <w:color w:val="000000" w:themeColor="text1"/>
          <w:szCs w:val="24"/>
        </w:rPr>
        <w:t>Entity 33</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99681E">
        <w:rPr>
          <w:rFonts w:eastAsia="Times New Roman"/>
          <w:color w:val="000000" w:themeColor="text1"/>
          <w:szCs w:val="24"/>
        </w:rPr>
        <w:t xml:space="preserve">% of the overall population. </w:t>
      </w:r>
    </w:p>
    <w:tbl>
      <w:tblPr>
        <w:tblpPr w:leftFromText="180" w:rightFromText="180" w:vertAnchor="text" w:horzAnchor="margin" w:tblpXSpec="right" w:tblpY="649"/>
        <w:tblOverlap w:val="never"/>
        <w:tblW w:w="5796" w:type="dxa"/>
        <w:tblLook w:val="04A0" w:firstRow="1" w:lastRow="0" w:firstColumn="1" w:lastColumn="0" w:noHBand="0" w:noVBand="1"/>
      </w:tblPr>
      <w:tblGrid>
        <w:gridCol w:w="2577"/>
        <w:gridCol w:w="1611"/>
        <w:gridCol w:w="1608"/>
      </w:tblGrid>
      <w:tr w:rsidR="004B1036" w:rsidRPr="00990988" w14:paraId="0D5197D0" w14:textId="77777777" w:rsidTr="004B1036">
        <w:trPr>
          <w:trHeight w:val="310"/>
        </w:trPr>
        <w:tc>
          <w:tcPr>
            <w:tcW w:w="5796" w:type="dxa"/>
            <w:gridSpan w:val="3"/>
            <w:tcBorders>
              <w:top w:val="nil"/>
              <w:left w:val="nil"/>
              <w:bottom w:val="single" w:sz="8" w:space="0" w:color="BFBFBF"/>
              <w:right w:val="nil"/>
            </w:tcBorders>
            <w:shd w:val="clear" w:color="auto" w:fill="auto"/>
            <w:noWrap/>
            <w:vAlign w:val="center"/>
            <w:hideMark/>
          </w:tcPr>
          <w:p w14:paraId="14048AE8" w14:textId="77777777" w:rsidR="004B1036" w:rsidRPr="00990988" w:rsidRDefault="004B1036" w:rsidP="004B1036">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Voter Turnout by Existing Municipality</w:t>
            </w:r>
          </w:p>
        </w:tc>
      </w:tr>
      <w:tr w:rsidR="004B1036" w:rsidRPr="00990988" w14:paraId="71BA047C" w14:textId="77777777" w:rsidTr="004B1036">
        <w:trPr>
          <w:trHeight w:val="970"/>
        </w:trPr>
        <w:tc>
          <w:tcPr>
            <w:tcW w:w="2577" w:type="dxa"/>
            <w:tcBorders>
              <w:top w:val="nil"/>
              <w:left w:val="nil"/>
              <w:bottom w:val="nil"/>
              <w:right w:val="nil"/>
            </w:tcBorders>
            <w:shd w:val="clear" w:color="4472C4" w:fill="4472C4"/>
            <w:vAlign w:val="center"/>
            <w:hideMark/>
          </w:tcPr>
          <w:p w14:paraId="0E39BC84" w14:textId="77777777" w:rsidR="004B1036" w:rsidRPr="00990988" w:rsidRDefault="004B1036" w:rsidP="004B1036">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Municipality</w:t>
            </w:r>
          </w:p>
        </w:tc>
        <w:tc>
          <w:tcPr>
            <w:tcW w:w="1611" w:type="dxa"/>
            <w:tcBorders>
              <w:top w:val="nil"/>
              <w:left w:val="single" w:sz="4" w:space="0" w:color="FFFFFF"/>
              <w:bottom w:val="nil"/>
              <w:right w:val="nil"/>
            </w:tcBorders>
            <w:shd w:val="clear" w:color="4472C4" w:fill="4472C4"/>
            <w:hideMark/>
          </w:tcPr>
          <w:p w14:paraId="5801BF09" w14:textId="77777777" w:rsidR="004B1036" w:rsidRPr="00990988" w:rsidRDefault="004B1036" w:rsidP="004B1036">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Voter Participation 2012</w:t>
            </w:r>
            <w:r w:rsidRPr="00990988">
              <w:rPr>
                <w:rFonts w:eastAsia="Times New Roman"/>
                <w:b/>
                <w:bCs/>
                <w:color w:val="000000"/>
                <w:szCs w:val="24"/>
                <w:vertAlign w:val="superscript"/>
                <w:lang w:val="en-CA" w:eastAsia="en-CA"/>
              </w:rPr>
              <w:t>1</w:t>
            </w:r>
          </w:p>
        </w:tc>
        <w:tc>
          <w:tcPr>
            <w:tcW w:w="1608" w:type="dxa"/>
            <w:tcBorders>
              <w:top w:val="nil"/>
              <w:left w:val="single" w:sz="4" w:space="0" w:color="FFFFFF"/>
              <w:bottom w:val="nil"/>
              <w:right w:val="nil"/>
            </w:tcBorders>
            <w:shd w:val="clear" w:color="4472C4" w:fill="4472C4"/>
            <w:hideMark/>
          </w:tcPr>
          <w:p w14:paraId="560AA71E" w14:textId="77777777" w:rsidR="004B1036" w:rsidRPr="00990988" w:rsidRDefault="004B1036" w:rsidP="004B1036">
            <w:pPr>
              <w:spacing w:after="0" w:line="240" w:lineRule="auto"/>
              <w:jc w:val="center"/>
              <w:rPr>
                <w:rFonts w:eastAsia="Times New Roman"/>
                <w:b/>
                <w:bCs/>
                <w:color w:val="000000"/>
                <w:szCs w:val="24"/>
                <w:lang w:val="en-CA" w:eastAsia="en-CA"/>
              </w:rPr>
            </w:pPr>
            <w:r w:rsidRPr="00990988">
              <w:rPr>
                <w:rFonts w:eastAsia="Times New Roman"/>
                <w:b/>
                <w:bCs/>
                <w:color w:val="000000"/>
                <w:szCs w:val="24"/>
                <w:lang w:val="en-CA" w:eastAsia="en-CA"/>
              </w:rPr>
              <w:t>Voter Participation 2016</w:t>
            </w:r>
            <w:r w:rsidRPr="00990988">
              <w:rPr>
                <w:rFonts w:eastAsia="Times New Roman"/>
                <w:b/>
                <w:bCs/>
                <w:color w:val="000000"/>
                <w:szCs w:val="24"/>
                <w:vertAlign w:val="superscript"/>
                <w:lang w:val="en-CA" w:eastAsia="en-CA"/>
              </w:rPr>
              <w:t>2</w:t>
            </w:r>
          </w:p>
        </w:tc>
      </w:tr>
      <w:tr w:rsidR="004B1036" w:rsidRPr="00990988" w14:paraId="211AD0B1" w14:textId="77777777" w:rsidTr="004B1036">
        <w:trPr>
          <w:trHeight w:val="290"/>
        </w:trPr>
        <w:tc>
          <w:tcPr>
            <w:tcW w:w="2577" w:type="dxa"/>
            <w:tcBorders>
              <w:top w:val="single" w:sz="12" w:space="0" w:color="FFFFFF"/>
              <w:left w:val="nil"/>
              <w:bottom w:val="nil"/>
              <w:right w:val="nil"/>
            </w:tcBorders>
            <w:shd w:val="clear" w:color="B4C6E7" w:fill="B4C6E7"/>
            <w:noWrap/>
            <w:hideMark/>
          </w:tcPr>
          <w:p w14:paraId="084AFA0B" w14:textId="77777777" w:rsidR="004B1036" w:rsidRPr="004B1036" w:rsidRDefault="004B1036" w:rsidP="004B1036">
            <w:pPr>
              <w:spacing w:after="0" w:line="240" w:lineRule="auto"/>
            </w:pPr>
            <w:r w:rsidRPr="00F20756">
              <w:t>Riverview</w:t>
            </w:r>
          </w:p>
        </w:tc>
        <w:tc>
          <w:tcPr>
            <w:tcW w:w="1611" w:type="dxa"/>
            <w:tcBorders>
              <w:top w:val="single" w:sz="12" w:space="0" w:color="FFFFFF"/>
              <w:left w:val="single" w:sz="4" w:space="0" w:color="FFFFFF"/>
              <w:bottom w:val="nil"/>
              <w:right w:val="nil"/>
            </w:tcBorders>
            <w:shd w:val="clear" w:color="B4C6E7" w:fill="B4C6E7"/>
            <w:noWrap/>
            <w:hideMark/>
          </w:tcPr>
          <w:p w14:paraId="3F67282D" w14:textId="77777777" w:rsidR="004B1036" w:rsidRPr="00990988" w:rsidRDefault="004B1036" w:rsidP="004B1036">
            <w:pPr>
              <w:spacing w:after="0" w:line="240" w:lineRule="auto"/>
              <w:jc w:val="center"/>
              <w:rPr>
                <w:rFonts w:eastAsia="Times New Roman"/>
                <w:color w:val="000000"/>
                <w:szCs w:val="24"/>
                <w:lang w:val="en-CA" w:eastAsia="en-CA"/>
              </w:rPr>
            </w:pPr>
            <w:r w:rsidRPr="00F20756">
              <w:t>44.29%</w:t>
            </w:r>
          </w:p>
        </w:tc>
        <w:tc>
          <w:tcPr>
            <w:tcW w:w="1608" w:type="dxa"/>
            <w:tcBorders>
              <w:top w:val="single" w:sz="12" w:space="0" w:color="FFFFFF"/>
              <w:left w:val="single" w:sz="4" w:space="0" w:color="FFFFFF"/>
              <w:bottom w:val="nil"/>
              <w:right w:val="nil"/>
            </w:tcBorders>
            <w:shd w:val="clear" w:color="B4C6E7" w:fill="B4C6E7"/>
            <w:noWrap/>
            <w:hideMark/>
          </w:tcPr>
          <w:p w14:paraId="737D1851" w14:textId="77777777" w:rsidR="004B1036" w:rsidRPr="00990988" w:rsidRDefault="004B1036" w:rsidP="004B1036">
            <w:pPr>
              <w:spacing w:after="0" w:line="240" w:lineRule="auto"/>
              <w:jc w:val="right"/>
              <w:rPr>
                <w:rFonts w:eastAsia="Times New Roman"/>
                <w:color w:val="000000"/>
                <w:szCs w:val="24"/>
                <w:lang w:val="en-CA" w:eastAsia="en-CA"/>
              </w:rPr>
            </w:pPr>
            <w:r w:rsidRPr="00F20756">
              <w:t>40.33%</w:t>
            </w:r>
          </w:p>
        </w:tc>
      </w:tr>
      <w:tr w:rsidR="004B1036" w:rsidRPr="00990988" w14:paraId="460A571E" w14:textId="77777777" w:rsidTr="004B1036">
        <w:trPr>
          <w:trHeight w:val="310"/>
        </w:trPr>
        <w:tc>
          <w:tcPr>
            <w:tcW w:w="5796" w:type="dxa"/>
            <w:gridSpan w:val="3"/>
            <w:tcBorders>
              <w:top w:val="nil"/>
              <w:left w:val="nil"/>
              <w:bottom w:val="nil"/>
              <w:right w:val="nil"/>
            </w:tcBorders>
            <w:shd w:val="clear" w:color="auto" w:fill="auto"/>
            <w:noWrap/>
            <w:vAlign w:val="bottom"/>
            <w:hideMark/>
          </w:tcPr>
          <w:p w14:paraId="1CC4D41E" w14:textId="77777777" w:rsidR="004B1036" w:rsidRPr="00990988" w:rsidRDefault="004B1036" w:rsidP="004B1036">
            <w:pPr>
              <w:spacing w:after="0" w:line="240" w:lineRule="auto"/>
              <w:rPr>
                <w:rFonts w:eastAsia="Times New Roman"/>
                <w:color w:val="000000"/>
                <w:sz w:val="20"/>
                <w:szCs w:val="20"/>
                <w:lang w:val="en-CA" w:eastAsia="en-CA"/>
              </w:rPr>
            </w:pPr>
            <w:r w:rsidRPr="00990988">
              <w:rPr>
                <w:rFonts w:eastAsia="Times New Roman"/>
                <w:color w:val="000000"/>
                <w:sz w:val="20"/>
                <w:szCs w:val="20"/>
                <w:lang w:val="en-CA" w:eastAsia="en-CA"/>
              </w:rPr>
              <w:t>1. Elections NB</w:t>
            </w:r>
          </w:p>
        </w:tc>
      </w:tr>
    </w:tbl>
    <w:p w14:paraId="33A2E114" w14:textId="2CA4161F" w:rsidR="003B03C3" w:rsidRDefault="003E4987" w:rsidP="00400E1B">
      <w:pPr>
        <w:jc w:val="both"/>
        <w:rPr>
          <w:rFonts w:eastAsia="Times New Roman"/>
          <w:color w:val="000000" w:themeColor="text1"/>
          <w:szCs w:val="24"/>
        </w:rPr>
      </w:pPr>
      <w:r>
        <w:rPr>
          <w:rFonts w:eastAsia="Times New Roman"/>
          <w:color w:val="000000" w:themeColor="text1"/>
          <w:szCs w:val="24"/>
        </w:rPr>
        <w:t xml:space="preserve">As it stands, the voter turnout rate in Riverview has been below the provincial average for the last two quadrennial elections. </w:t>
      </w:r>
      <w:r w:rsidR="00DF61B0">
        <w:rPr>
          <w:rFonts w:eastAsia="Times New Roman"/>
          <w:color w:val="000000" w:themeColor="text1"/>
          <w:szCs w:val="24"/>
        </w:rPr>
        <w:t xml:space="preserve">While only one unincorporated area would be included in addition to </w:t>
      </w:r>
      <w:r w:rsidR="007B253A">
        <w:rPr>
          <w:rFonts w:eastAsia="Times New Roman"/>
          <w:color w:val="000000" w:themeColor="text1"/>
          <w:szCs w:val="24"/>
        </w:rPr>
        <w:t>Riverview</w:t>
      </w:r>
      <w:r w:rsidR="00DF61B0">
        <w:rPr>
          <w:rFonts w:eastAsia="Times New Roman"/>
          <w:color w:val="000000" w:themeColor="text1"/>
          <w:szCs w:val="24"/>
        </w:rPr>
        <w:t xml:space="preserve">, </w:t>
      </w:r>
      <w:r w:rsidR="00911020">
        <w:rPr>
          <w:rFonts w:eastAsia="Times New Roman"/>
          <w:color w:val="000000" w:themeColor="text1"/>
          <w:szCs w:val="24"/>
        </w:rPr>
        <w:t xml:space="preserve">any </w:t>
      </w:r>
      <w:r w:rsidR="00E07EED">
        <w:rPr>
          <w:rFonts w:eastAsia="Times New Roman"/>
          <w:color w:val="000000" w:themeColor="text1"/>
          <w:szCs w:val="24"/>
        </w:rPr>
        <w:t xml:space="preserve">inclusion of </w:t>
      </w:r>
      <w:r w:rsidR="005A55A6">
        <w:rPr>
          <w:rFonts w:eastAsia="Times New Roman"/>
          <w:color w:val="000000" w:themeColor="text1"/>
          <w:szCs w:val="24"/>
        </w:rPr>
        <w:t>populations with differing interests</w:t>
      </w:r>
      <w:r w:rsidR="00157164">
        <w:rPr>
          <w:rFonts w:eastAsia="Times New Roman"/>
          <w:color w:val="000000" w:themeColor="text1"/>
          <w:szCs w:val="24"/>
        </w:rPr>
        <w:t xml:space="preserve"> to the electorate may potentially increase the competitiveness of elections, </w:t>
      </w:r>
      <w:r w:rsidR="005A55A6">
        <w:rPr>
          <w:rFonts w:eastAsia="Times New Roman"/>
          <w:color w:val="000000" w:themeColor="text1"/>
          <w:szCs w:val="24"/>
        </w:rPr>
        <w:t>incentivizing</w:t>
      </w:r>
      <w:r w:rsidR="00157164">
        <w:rPr>
          <w:rFonts w:eastAsia="Times New Roman"/>
          <w:color w:val="000000" w:themeColor="text1"/>
          <w:szCs w:val="24"/>
        </w:rPr>
        <w:t xml:space="preserve"> higher voter turnout</w:t>
      </w:r>
      <w:r w:rsidR="00951EA9">
        <w:rPr>
          <w:rFonts w:eastAsia="Times New Roman"/>
          <w:color w:val="000000" w:themeColor="text1"/>
          <w:szCs w:val="24"/>
        </w:rPr>
        <w:t xml:space="preserve">. </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7C96BB88" w:rsidR="002D1F21" w:rsidRPr="00226288" w:rsidRDefault="00DB305D" w:rsidP="00400E1B">
      <w:pPr>
        <w:jc w:val="both"/>
      </w:pPr>
      <w:r>
        <w:t xml:space="preserve">The primary benefits of the proposed entity for the residents of the existing municipality and LSD would be financial. </w:t>
      </w:r>
      <w:r w:rsidR="001B0CCA">
        <w:t>Entity 33</w:t>
      </w:r>
      <w:r w:rsidR="002D1F21" w:rsidRPr="00226288">
        <w:t xml:space="preserve"> w</w:t>
      </w:r>
      <w:r w:rsidR="001A086F">
        <w:t xml:space="preserve">ould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w:t>
      </w:r>
      <w:r w:rsidR="002D1F21" w:rsidRPr="00226288">
        <w:lastRenderedPageBreak/>
        <w:t xml:space="preserve">provincial government, municipal property taxes, and other user fees related to services like water and wastewater usage. </w:t>
      </w:r>
    </w:p>
    <w:p w14:paraId="623C499A" w14:textId="4DCEFBBB" w:rsidR="005F24EA" w:rsidRPr="005864B5" w:rsidRDefault="00226288" w:rsidP="005F24EA">
      <w:pPr>
        <w:jc w:val="both"/>
        <w:rPr>
          <w:rFonts w:eastAsia="Times New Roman"/>
          <w:color w:val="000000"/>
          <w:sz w:val="20"/>
          <w:szCs w:val="20"/>
          <w:lang w:val="en-CA" w:eastAsia="en-CA"/>
        </w:rPr>
      </w:pPr>
      <w:r w:rsidRPr="00226288">
        <w:t xml:space="preserve">Because its population is </w:t>
      </w:r>
      <w:r w:rsidR="00D4535C">
        <w:t>above</w:t>
      </w:r>
      <w:r w:rsidR="0035403A">
        <w:t xml:space="preserve"> </w:t>
      </w:r>
      <w:r w:rsidR="00B125F3">
        <w:t>1</w:t>
      </w:r>
      <w:r w:rsidR="00275F78">
        <w:t>0000</w:t>
      </w:r>
      <w:r w:rsidRPr="00226288">
        <w:t xml:space="preserve">, </w:t>
      </w:r>
      <w:r w:rsidR="001B0CCA">
        <w:t>Entity 33</w:t>
      </w:r>
      <w:r w:rsidR="00B125F3">
        <w:t xml:space="preserve"> would qualify as a ‘Group </w:t>
      </w:r>
      <w:r w:rsidR="00335DAC">
        <w:t>B</w:t>
      </w:r>
      <w:r w:rsidR="003B2A08">
        <w:t>’</w:t>
      </w:r>
      <w:r w:rsidRPr="00226288">
        <w:t xml:space="preserve"> municipality</w:t>
      </w:r>
      <w:r w:rsidR="003011C3">
        <w:t xml:space="preserve">. </w:t>
      </w:r>
      <w:r w:rsidR="005F24EA">
        <w:t xml:space="preserve">As </w:t>
      </w:r>
      <w:r w:rsidR="005F24EA">
        <w:t>Entity 33</w:t>
      </w:r>
      <w:r w:rsidR="005F24EA">
        <w:t xml:space="preserve">’s assessment base per capita </w:t>
      </w:r>
      <w:r w:rsidR="005F24EA" w:rsidRPr="000852E9">
        <w:rPr>
          <w:szCs w:val="24"/>
        </w:rPr>
        <w:t xml:space="preserve">would </w:t>
      </w:r>
      <w:r w:rsidR="005F24EA">
        <w:rPr>
          <w:szCs w:val="24"/>
        </w:rPr>
        <w:t>be lesser than</w:t>
      </w:r>
      <w:r w:rsidR="005F24EA" w:rsidRPr="000852E9">
        <w:rPr>
          <w:szCs w:val="24"/>
        </w:rPr>
        <w:t xml:space="preserve"> the group average, </w:t>
      </w:r>
      <w:r w:rsidR="005F24EA">
        <w:rPr>
          <w:szCs w:val="24"/>
        </w:rPr>
        <w:t>it would be entitled to an</w:t>
      </w:r>
      <w:r w:rsidR="005F24EA" w:rsidRPr="000852E9">
        <w:rPr>
          <w:szCs w:val="24"/>
        </w:rPr>
        <w:t xml:space="preserve"> annual equalization </w:t>
      </w:r>
      <w:r w:rsidR="005F24EA" w:rsidRPr="0051512A">
        <w:rPr>
          <w:szCs w:val="24"/>
        </w:rPr>
        <w:t xml:space="preserve">grant </w:t>
      </w:r>
      <w:r w:rsidR="005F24EA" w:rsidRPr="00DD4BBF">
        <w:rPr>
          <w:szCs w:val="24"/>
        </w:rPr>
        <w:t xml:space="preserve">of </w:t>
      </w:r>
      <w:r w:rsidR="00DD4BBF" w:rsidRPr="00DD4BBF">
        <w:rPr>
          <w:rFonts w:eastAsia="Times New Roman"/>
          <w:color w:val="000000"/>
          <w:szCs w:val="24"/>
          <w:lang w:val="en-CA" w:eastAsia="en-CA"/>
        </w:rPr>
        <w:t>$386,313</w:t>
      </w:r>
      <w:r w:rsidR="00DD4BBF" w:rsidRPr="00DD4BBF">
        <w:rPr>
          <w:rFonts w:eastAsia="Times New Roman"/>
          <w:color w:val="000000"/>
          <w:szCs w:val="24"/>
          <w:lang w:val="en-CA" w:eastAsia="en-CA"/>
        </w:rPr>
        <w:t xml:space="preserve"> </w:t>
      </w:r>
      <w:r w:rsidR="005F24EA" w:rsidRPr="00DD4BBF">
        <w:rPr>
          <w:rFonts w:eastAsia="Times New Roman"/>
          <w:color w:val="000000"/>
          <w:szCs w:val="24"/>
          <w:lang w:val="en-CA" w:eastAsia="en-CA"/>
        </w:rPr>
        <w:t>to</w:t>
      </w:r>
      <w:r w:rsidR="005F24EA" w:rsidRPr="00FA1F49">
        <w:rPr>
          <w:rFonts w:eastAsia="Times New Roman"/>
          <w:color w:val="000000"/>
          <w:szCs w:val="24"/>
          <w:lang w:val="en-CA" w:eastAsia="en-CA"/>
        </w:rPr>
        <w:t xml:space="preserve"> ensure</w:t>
      </w:r>
      <w:r w:rsidR="005F24EA" w:rsidRPr="009E0C04">
        <w:rPr>
          <w:rFonts w:eastAsia="Times New Roman"/>
          <w:color w:val="000000"/>
          <w:szCs w:val="24"/>
          <w:lang w:val="en-CA" w:eastAsia="en-CA"/>
        </w:rPr>
        <w:t xml:space="preserve"> equal opportunity among the 53 municipal entities. </w:t>
      </w:r>
      <w:r w:rsidR="005F24EA" w:rsidRPr="009E0C04">
        <w:rPr>
          <w:szCs w:val="24"/>
        </w:rPr>
        <w:t>With the tax room transfer from the provincial</w:t>
      </w:r>
      <w:r w:rsidR="005F24EA" w:rsidRPr="00C61508">
        <w:rPr>
          <w:szCs w:val="24"/>
        </w:rPr>
        <w:t xml:space="preserve"> government to municipal </w:t>
      </w:r>
      <w:r w:rsidR="005F24EA" w:rsidRPr="00FA1F49">
        <w:rPr>
          <w:szCs w:val="24"/>
        </w:rPr>
        <w:t xml:space="preserve">governments included in the proposed new framework, </w:t>
      </w:r>
      <w:r w:rsidR="005F24EA">
        <w:rPr>
          <w:szCs w:val="24"/>
        </w:rPr>
        <w:t>Entity 33</w:t>
      </w:r>
      <w:r w:rsidR="005F24EA" w:rsidRPr="00FA1F49">
        <w:rPr>
          <w:szCs w:val="24"/>
        </w:rPr>
        <w:t xml:space="preserve">’s assessment base </w:t>
      </w:r>
      <w:r w:rsidR="005F24EA" w:rsidRPr="005864B5">
        <w:rPr>
          <w:szCs w:val="24"/>
        </w:rPr>
        <w:t xml:space="preserve">of </w:t>
      </w:r>
      <w:r w:rsidR="005864B5" w:rsidRPr="005864B5">
        <w:rPr>
          <w:rFonts w:eastAsia="Times New Roman"/>
          <w:color w:val="000000"/>
          <w:szCs w:val="24"/>
          <w:lang w:val="en-CA" w:eastAsia="en-CA"/>
        </w:rPr>
        <w:t>$1,672,895,000</w:t>
      </w:r>
      <w:r w:rsidR="005864B5" w:rsidRPr="005864B5">
        <w:rPr>
          <w:rFonts w:eastAsia="Times New Roman"/>
          <w:color w:val="000000"/>
          <w:szCs w:val="24"/>
          <w:lang w:val="en-CA" w:eastAsia="en-CA"/>
        </w:rPr>
        <w:t xml:space="preserve"> </w:t>
      </w:r>
      <w:r w:rsidR="005F24EA" w:rsidRPr="005864B5">
        <w:rPr>
          <w:szCs w:val="24"/>
        </w:rPr>
        <w:t>would</w:t>
      </w:r>
      <w:r w:rsidR="005F24EA" w:rsidRPr="00A26B00">
        <w:rPr>
          <w:szCs w:val="24"/>
        </w:rPr>
        <w:t xml:space="preserve"> be able to yield more revenue than it could under the current local governance regime.</w:t>
      </w:r>
      <w:r w:rsidR="005F24EA" w:rsidRPr="004E399E">
        <w:rPr>
          <w:szCs w:val="24"/>
        </w:rPr>
        <w:t xml:space="preserve"> Equal Opportunity among municipalities remains a priority in the new framework, but the primary guarantor of said equality is now tax warrants rather than equalization</w:t>
      </w:r>
      <w:r w:rsidR="005F24EA">
        <w:t xml:space="preserve"> payments.</w:t>
      </w:r>
    </w:p>
    <w:p w14:paraId="61B53BEF" w14:textId="3DE08524" w:rsidR="00226288" w:rsidRPr="00226288" w:rsidRDefault="00226288" w:rsidP="00400E1B">
      <w:pPr>
        <w:jc w:val="both"/>
      </w:pPr>
      <w:r w:rsidRPr="009A766E">
        <w:rPr>
          <w:szCs w:val="24"/>
        </w:rPr>
        <w:t>Of course, this</w:t>
      </w:r>
      <w:r w:rsidRPr="00226288">
        <w:t xml:space="preserve"> tax room transfer does not necessitate that property tax rates will increase by $1.50 per $100 of valuation across </w:t>
      </w:r>
      <w:r w:rsidR="001B0CCA">
        <w:t>Entity 33</w:t>
      </w:r>
      <w:r w:rsidRPr="00226288">
        <w:t xml:space="preserve">, nor does it indicate that the entire municipality will operate with one uniform property tax rate. </w:t>
      </w:r>
      <w:r w:rsidRPr="00226288">
        <w:rPr>
          <w:rFonts w:eastAsia="Times New Roman"/>
          <w:szCs w:val="24"/>
        </w:rPr>
        <w:t xml:space="preserve">Because </w:t>
      </w:r>
      <w:r w:rsidR="001B0CCA">
        <w:rPr>
          <w:rFonts w:eastAsia="Times New Roman"/>
          <w:szCs w:val="24"/>
        </w:rPr>
        <w:t>Entity 33</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330BC5E7"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1B0CCA">
        <w:t>Entity 33</w:t>
      </w:r>
      <w:r w:rsidR="003011C3">
        <w:t xml:space="preserve"> could easily implement a </w:t>
      </w:r>
      <w:proofErr w:type="gramStart"/>
      <w:r w:rsidR="003011C3">
        <w:t>two tiered</w:t>
      </w:r>
      <w:proofErr w:type="gramEnd"/>
      <w:r w:rsidR="003011C3">
        <w:t xml:space="preserve"> property tax regime similar to Fredericton and Dieppe where those inside the urban area and those outside are charged substantially different rates.  </w:t>
      </w:r>
    </w:p>
    <w:p w14:paraId="42654CD4" w14:textId="5FB3D891" w:rsidR="00226288" w:rsidRPr="00226288" w:rsidRDefault="00226288" w:rsidP="00226288">
      <w:r w:rsidRPr="00226288">
        <w:t xml:space="preserve">Overall, then, </w:t>
      </w:r>
      <w:r w:rsidR="001B0CCA">
        <w:t>Entity 33</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0619C3D" w:rsidR="00226288" w:rsidRPr="00226288" w:rsidRDefault="00226288" w:rsidP="00226288">
      <w:pPr>
        <w:rPr>
          <w:b/>
          <w:bCs/>
        </w:rPr>
      </w:pPr>
      <w:r w:rsidRPr="00226288">
        <w:rPr>
          <w:b/>
          <w:bCs/>
        </w:rPr>
        <w:t>Division of Municipal and Provincial Responsibilities</w:t>
      </w:r>
    </w:p>
    <w:p w14:paraId="3936984A" w14:textId="3DA54838"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w:t>
      </w:r>
      <w:r w:rsidR="002A4519">
        <w:rPr>
          <w:noProof/>
          <w:szCs w:val="24"/>
        </w:rPr>
        <w:lastRenderedPageBreak/>
        <w:drawing>
          <wp:anchor distT="0" distB="0" distL="114300" distR="114300" simplePos="0" relativeHeight="251659264" behindDoc="0" locked="0" layoutInCell="1" allowOverlap="1" wp14:anchorId="3EFE97F1" wp14:editId="58D7B280">
            <wp:simplePos x="0" y="0"/>
            <wp:positionH relativeFrom="column">
              <wp:posOffset>2545852</wp:posOffset>
            </wp:positionH>
            <wp:positionV relativeFrom="paragraph">
              <wp:posOffset>394</wp:posOffset>
            </wp:positionV>
            <wp:extent cx="3612515" cy="2171700"/>
            <wp:effectExtent l="0" t="0" r="6985" b="0"/>
            <wp:wrapThrough wrapText="bothSides">
              <wp:wrapPolygon edited="0">
                <wp:start x="0" y="0"/>
                <wp:lineTo x="0" y="21411"/>
                <wp:lineTo x="21528" y="21411"/>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12515" cy="21717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288">
        <w:rPr>
          <w:rFonts w:eastAsia="Times New Roman"/>
          <w:szCs w:val="24"/>
        </w:rPr>
        <w:t xml:space="preserve">entirely up to the residents of </w:t>
      </w:r>
      <w:r w:rsidR="001B0CCA">
        <w:rPr>
          <w:rFonts w:eastAsia="Times New Roman"/>
          <w:szCs w:val="24"/>
        </w:rPr>
        <w:t>Entity 33</w:t>
      </w:r>
      <w:r w:rsidRPr="00226288">
        <w:rPr>
          <w:rFonts w:eastAsia="Times New Roman"/>
          <w:szCs w:val="24"/>
        </w:rPr>
        <w:t xml:space="preserve">, and the tax rates of the entity would reflect this level of service. </w:t>
      </w:r>
    </w:p>
    <w:p w14:paraId="7E7D20ED" w14:textId="19A54B6A"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154F4D1D" w:rsidR="00226288" w:rsidRPr="00226288" w:rsidRDefault="001B0CCA" w:rsidP="00226288">
      <w:pPr>
        <w:rPr>
          <w:rFonts w:eastAsia="Times New Roman"/>
          <w:szCs w:val="24"/>
        </w:rPr>
      </w:pPr>
      <w:r>
        <w:rPr>
          <w:rFonts w:eastAsia="Times New Roman"/>
          <w:szCs w:val="24"/>
        </w:rPr>
        <w:t>Entity 33</w:t>
      </w:r>
      <w:r w:rsidR="00226288" w:rsidRPr="00226288">
        <w:rPr>
          <w:rFonts w:eastAsia="Times New Roman"/>
          <w:szCs w:val="24"/>
        </w:rPr>
        <w:t xml:space="preserve"> would belong to </w:t>
      </w:r>
      <w:r w:rsidR="00706AE4">
        <w:rPr>
          <w:rFonts w:eastAsia="Times New Roman"/>
          <w:szCs w:val="24"/>
        </w:rPr>
        <w:t>RSD 7</w:t>
      </w:r>
      <w:r w:rsidR="00226288" w:rsidRPr="00226288">
        <w:rPr>
          <w:rFonts w:eastAsia="Times New Roman"/>
          <w:szCs w:val="24"/>
        </w:rPr>
        <w:t xml:space="preserve"> along with its </w:t>
      </w:r>
      <w:r w:rsidR="00EB1A37" w:rsidRPr="00226288">
        <w:rPr>
          <w:rFonts w:eastAsia="Times New Roman"/>
          <w:szCs w:val="24"/>
        </w:rPr>
        <w:t>neighbors</w:t>
      </w:r>
      <w:r w:rsidR="00226288" w:rsidRPr="00226288">
        <w:rPr>
          <w:rFonts w:eastAsia="Times New Roman"/>
          <w:szCs w:val="24"/>
        </w:rPr>
        <w:t xml:space="preserve"> Entities </w:t>
      </w:r>
      <w:bookmarkStart w:id="0" w:name="_Hlk40085397"/>
      <w:r w:rsidR="00D515A4">
        <w:rPr>
          <w:rFonts w:eastAsia="Times New Roman"/>
          <w:szCs w:val="24"/>
        </w:rPr>
        <w:t>2</w:t>
      </w:r>
      <w:r w:rsidR="002D1F21">
        <w:rPr>
          <w:rFonts w:eastAsia="Times New Roman"/>
          <w:szCs w:val="24"/>
        </w:rPr>
        <w:t>6, 27, 2</w:t>
      </w:r>
      <w:r w:rsidR="00CD14B9">
        <w:rPr>
          <w:rFonts w:eastAsia="Times New Roman"/>
          <w:szCs w:val="24"/>
        </w:rPr>
        <w:t>8</w:t>
      </w:r>
      <w:r w:rsidR="002D1F21">
        <w:rPr>
          <w:rFonts w:eastAsia="Times New Roman"/>
          <w:szCs w:val="24"/>
        </w:rPr>
        <w:t>, 30, 3</w:t>
      </w:r>
      <w:r w:rsidR="004201D9">
        <w:rPr>
          <w:rFonts w:eastAsia="Times New Roman"/>
          <w:szCs w:val="24"/>
        </w:rPr>
        <w:t>1</w:t>
      </w:r>
      <w:r w:rsidR="002D1F21">
        <w:rPr>
          <w:rFonts w:eastAsia="Times New Roman"/>
          <w:szCs w:val="24"/>
        </w:rPr>
        <w:t>, 3</w:t>
      </w:r>
      <w:r w:rsidR="00B12D99">
        <w:rPr>
          <w:rFonts w:eastAsia="Times New Roman"/>
          <w:szCs w:val="24"/>
        </w:rPr>
        <w:t>2</w:t>
      </w:r>
      <w:r w:rsidR="002D1F21">
        <w:rPr>
          <w:rFonts w:eastAsia="Times New Roman"/>
          <w:szCs w:val="24"/>
        </w:rPr>
        <w:t>, and 34</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5423DC7E" w:rsidR="00CB2BDF"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881CAD">
        <w:rPr>
          <w:rFonts w:eastAsia="Times New Roman"/>
          <w:szCs w:val="24"/>
        </w:rPr>
        <w:t xml:space="preserve">RSD 7 covers both the Westmorland and Albert counties, with Moncton as the economic hub. The distribution of commuters in these counties demonstrate the region’s economic interdependence. Not including Moncton proper as a significant majority of the city’s commuters understandably remain within their own community for work, Westmorland county’s municipalities and LSDs report nearly 70% of commuters as leaving their community of origin for work each day while remaining within Westmorland county. </w:t>
      </w:r>
      <w:r w:rsidR="00D743BF">
        <w:rPr>
          <w:rFonts w:eastAsia="Times New Roman"/>
          <w:szCs w:val="24"/>
        </w:rPr>
        <w:t xml:space="preserve">Likewise, nearly 60% of Albert county’s commuters travel outside their </w:t>
      </w:r>
      <w:proofErr w:type="spellStart"/>
      <w:r w:rsidR="00D743BF">
        <w:rPr>
          <w:rFonts w:eastAsia="Times New Roman"/>
          <w:szCs w:val="24"/>
        </w:rPr>
        <w:t>county</w:t>
      </w:r>
      <w:proofErr w:type="spellEnd"/>
      <w:r w:rsidR="00D743BF">
        <w:rPr>
          <w:rFonts w:eastAsia="Times New Roman"/>
          <w:szCs w:val="24"/>
        </w:rPr>
        <w:t xml:space="preserve"> of origin in order to work in the economic hub of Moncton. This economic interdependence represents both a need for collaboration in planning and opportunity for collaboration in service provision.</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C0925F5" w14:textId="51CF9923" w:rsidR="47626E9A" w:rsidRPr="00FF458F" w:rsidRDefault="00226288" w:rsidP="00E16335">
      <w:pPr>
        <w:rPr>
          <w:rFonts w:eastAsia="Times New Roman"/>
          <w:szCs w:val="24"/>
        </w:rPr>
      </w:pPr>
      <w:r w:rsidRPr="00226288">
        <w:rPr>
          <w:rFonts w:eastAsia="Times New Roman"/>
          <w:szCs w:val="24"/>
        </w:rPr>
        <w:t xml:space="preserve">Overall, </w:t>
      </w:r>
      <w:r w:rsidR="001B0CCA">
        <w:rPr>
          <w:rFonts w:eastAsia="Times New Roman"/>
          <w:szCs w:val="24"/>
        </w:rPr>
        <w:t>Entity 33</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w:t>
      </w:r>
      <w:r w:rsidRPr="00226288">
        <w:rPr>
          <w:rFonts w:eastAsia="Times New Roman"/>
          <w:szCs w:val="24"/>
        </w:rPr>
        <w:lastRenderedPageBreak/>
        <w:t>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sectPr w:rsidR="47626E9A" w:rsidRPr="00FF458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43AAC" w14:textId="77777777" w:rsidR="0032547E" w:rsidRDefault="0032547E" w:rsidP="00533253">
      <w:pPr>
        <w:spacing w:after="0" w:line="240" w:lineRule="auto"/>
      </w:pPr>
      <w:r>
        <w:separator/>
      </w:r>
    </w:p>
  </w:endnote>
  <w:endnote w:type="continuationSeparator" w:id="0">
    <w:p w14:paraId="3DFB08BD" w14:textId="77777777" w:rsidR="0032547E" w:rsidRDefault="0032547E" w:rsidP="00533253">
      <w:pPr>
        <w:spacing w:after="0" w:line="240" w:lineRule="auto"/>
      </w:pPr>
      <w:r>
        <w:continuationSeparator/>
      </w:r>
    </w:p>
  </w:endnote>
  <w:endnote w:type="continuationNotice" w:id="1">
    <w:p w14:paraId="0A39FFB9" w14:textId="77777777" w:rsidR="0032547E" w:rsidRDefault="00325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221F5" w14:textId="77777777" w:rsidR="0032547E" w:rsidRDefault="0032547E" w:rsidP="00533253">
      <w:pPr>
        <w:spacing w:after="0" w:line="240" w:lineRule="auto"/>
      </w:pPr>
      <w:r>
        <w:separator/>
      </w:r>
    </w:p>
  </w:footnote>
  <w:footnote w:type="continuationSeparator" w:id="0">
    <w:p w14:paraId="48F0194E" w14:textId="77777777" w:rsidR="0032547E" w:rsidRDefault="0032547E" w:rsidP="00533253">
      <w:pPr>
        <w:spacing w:after="0" w:line="240" w:lineRule="auto"/>
      </w:pPr>
      <w:r>
        <w:continuationSeparator/>
      </w:r>
    </w:p>
  </w:footnote>
  <w:footnote w:type="continuationNotice" w:id="1">
    <w:p w14:paraId="47D69779" w14:textId="77777777" w:rsidR="0032547E" w:rsidRDefault="0032547E">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2DE1"/>
    <w:rsid w:val="000238B0"/>
    <w:rsid w:val="00024CFD"/>
    <w:rsid w:val="000259AF"/>
    <w:rsid w:val="00025F29"/>
    <w:rsid w:val="00031BC5"/>
    <w:rsid w:val="00034174"/>
    <w:rsid w:val="00035302"/>
    <w:rsid w:val="000356BA"/>
    <w:rsid w:val="000361EA"/>
    <w:rsid w:val="000366A7"/>
    <w:rsid w:val="00037D03"/>
    <w:rsid w:val="0004189C"/>
    <w:rsid w:val="000467DA"/>
    <w:rsid w:val="00047B47"/>
    <w:rsid w:val="00050419"/>
    <w:rsid w:val="000521C5"/>
    <w:rsid w:val="00054665"/>
    <w:rsid w:val="0005610E"/>
    <w:rsid w:val="00056919"/>
    <w:rsid w:val="00061B5D"/>
    <w:rsid w:val="00062C5C"/>
    <w:rsid w:val="00063FB6"/>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3547"/>
    <w:rsid w:val="000C483C"/>
    <w:rsid w:val="000D0004"/>
    <w:rsid w:val="000D0C37"/>
    <w:rsid w:val="000D0E5E"/>
    <w:rsid w:val="000D539E"/>
    <w:rsid w:val="000D7B94"/>
    <w:rsid w:val="000D7F02"/>
    <w:rsid w:val="000E0371"/>
    <w:rsid w:val="000E0B96"/>
    <w:rsid w:val="000F062C"/>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164"/>
    <w:rsid w:val="001577D4"/>
    <w:rsid w:val="001618D5"/>
    <w:rsid w:val="00162133"/>
    <w:rsid w:val="00163993"/>
    <w:rsid w:val="001640B8"/>
    <w:rsid w:val="001713C5"/>
    <w:rsid w:val="00171BE4"/>
    <w:rsid w:val="00171F0E"/>
    <w:rsid w:val="00172214"/>
    <w:rsid w:val="00181A0E"/>
    <w:rsid w:val="00182F1D"/>
    <w:rsid w:val="00183857"/>
    <w:rsid w:val="00190B92"/>
    <w:rsid w:val="00191519"/>
    <w:rsid w:val="00194CEE"/>
    <w:rsid w:val="00195492"/>
    <w:rsid w:val="001961F9"/>
    <w:rsid w:val="001A0135"/>
    <w:rsid w:val="001A086F"/>
    <w:rsid w:val="001A4616"/>
    <w:rsid w:val="001A4A6F"/>
    <w:rsid w:val="001A5EB0"/>
    <w:rsid w:val="001B0CCA"/>
    <w:rsid w:val="001B0FF6"/>
    <w:rsid w:val="001B197B"/>
    <w:rsid w:val="001B2623"/>
    <w:rsid w:val="001B479C"/>
    <w:rsid w:val="001B4F0F"/>
    <w:rsid w:val="001B4F70"/>
    <w:rsid w:val="001C2040"/>
    <w:rsid w:val="001C359A"/>
    <w:rsid w:val="001C38B6"/>
    <w:rsid w:val="001D00C9"/>
    <w:rsid w:val="001D2F8A"/>
    <w:rsid w:val="001D5074"/>
    <w:rsid w:val="001D6C80"/>
    <w:rsid w:val="001E7839"/>
    <w:rsid w:val="001F1365"/>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3451"/>
    <w:rsid w:val="00224499"/>
    <w:rsid w:val="00226288"/>
    <w:rsid w:val="00226458"/>
    <w:rsid w:val="002271ED"/>
    <w:rsid w:val="00231AA9"/>
    <w:rsid w:val="0023219F"/>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3FAE"/>
    <w:rsid w:val="00294052"/>
    <w:rsid w:val="00294E20"/>
    <w:rsid w:val="00295D44"/>
    <w:rsid w:val="00296040"/>
    <w:rsid w:val="00297AC6"/>
    <w:rsid w:val="002A4519"/>
    <w:rsid w:val="002A5FBA"/>
    <w:rsid w:val="002A769B"/>
    <w:rsid w:val="002A781B"/>
    <w:rsid w:val="002B165A"/>
    <w:rsid w:val="002B3451"/>
    <w:rsid w:val="002B6EB3"/>
    <w:rsid w:val="002B7188"/>
    <w:rsid w:val="002B7BBD"/>
    <w:rsid w:val="002C3552"/>
    <w:rsid w:val="002C44D3"/>
    <w:rsid w:val="002C48FE"/>
    <w:rsid w:val="002C5E16"/>
    <w:rsid w:val="002C6BEA"/>
    <w:rsid w:val="002D1F21"/>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547E"/>
    <w:rsid w:val="00326D5B"/>
    <w:rsid w:val="00331342"/>
    <w:rsid w:val="00333276"/>
    <w:rsid w:val="003358D7"/>
    <w:rsid w:val="00335DAC"/>
    <w:rsid w:val="00340E57"/>
    <w:rsid w:val="00342506"/>
    <w:rsid w:val="00343F5F"/>
    <w:rsid w:val="00344A46"/>
    <w:rsid w:val="003459DA"/>
    <w:rsid w:val="00346F38"/>
    <w:rsid w:val="00351E9F"/>
    <w:rsid w:val="00351F4C"/>
    <w:rsid w:val="0035403A"/>
    <w:rsid w:val="00354F92"/>
    <w:rsid w:val="003561B9"/>
    <w:rsid w:val="00365444"/>
    <w:rsid w:val="00365826"/>
    <w:rsid w:val="00365E92"/>
    <w:rsid w:val="0036789A"/>
    <w:rsid w:val="003707D4"/>
    <w:rsid w:val="0037091E"/>
    <w:rsid w:val="00375326"/>
    <w:rsid w:val="003753C3"/>
    <w:rsid w:val="0037703C"/>
    <w:rsid w:val="00377EAB"/>
    <w:rsid w:val="00380BF5"/>
    <w:rsid w:val="00383314"/>
    <w:rsid w:val="0038365B"/>
    <w:rsid w:val="00385AF5"/>
    <w:rsid w:val="00386C93"/>
    <w:rsid w:val="003975CE"/>
    <w:rsid w:val="003A20BA"/>
    <w:rsid w:val="003A22CB"/>
    <w:rsid w:val="003A2E7D"/>
    <w:rsid w:val="003A431A"/>
    <w:rsid w:val="003A4C02"/>
    <w:rsid w:val="003B03C3"/>
    <w:rsid w:val="003B108F"/>
    <w:rsid w:val="003B18DC"/>
    <w:rsid w:val="003B1FCD"/>
    <w:rsid w:val="003B2A08"/>
    <w:rsid w:val="003B3F3D"/>
    <w:rsid w:val="003B448F"/>
    <w:rsid w:val="003C2229"/>
    <w:rsid w:val="003C2DA4"/>
    <w:rsid w:val="003C3DFA"/>
    <w:rsid w:val="003C47BF"/>
    <w:rsid w:val="003D3F4B"/>
    <w:rsid w:val="003D69F7"/>
    <w:rsid w:val="003D7C66"/>
    <w:rsid w:val="003E1657"/>
    <w:rsid w:val="003E31DA"/>
    <w:rsid w:val="003E381F"/>
    <w:rsid w:val="003E41B8"/>
    <w:rsid w:val="003E4987"/>
    <w:rsid w:val="003E682B"/>
    <w:rsid w:val="003F2CF4"/>
    <w:rsid w:val="003F6376"/>
    <w:rsid w:val="003F78B1"/>
    <w:rsid w:val="003F7C1D"/>
    <w:rsid w:val="0040016D"/>
    <w:rsid w:val="00400690"/>
    <w:rsid w:val="00400E1B"/>
    <w:rsid w:val="0040747F"/>
    <w:rsid w:val="004101BE"/>
    <w:rsid w:val="0041088B"/>
    <w:rsid w:val="00410A7C"/>
    <w:rsid w:val="00413C87"/>
    <w:rsid w:val="0041579F"/>
    <w:rsid w:val="00416A76"/>
    <w:rsid w:val="00417517"/>
    <w:rsid w:val="00417737"/>
    <w:rsid w:val="00417F02"/>
    <w:rsid w:val="004201D9"/>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1036"/>
    <w:rsid w:val="004B2B8C"/>
    <w:rsid w:val="004B3483"/>
    <w:rsid w:val="004B4120"/>
    <w:rsid w:val="004B618F"/>
    <w:rsid w:val="004B6A9C"/>
    <w:rsid w:val="004B75B8"/>
    <w:rsid w:val="004C2705"/>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7378"/>
    <w:rsid w:val="005015A8"/>
    <w:rsid w:val="00503949"/>
    <w:rsid w:val="00503E48"/>
    <w:rsid w:val="005059B1"/>
    <w:rsid w:val="00510189"/>
    <w:rsid w:val="00510593"/>
    <w:rsid w:val="005219AD"/>
    <w:rsid w:val="00521FC4"/>
    <w:rsid w:val="005238F9"/>
    <w:rsid w:val="00523BD5"/>
    <w:rsid w:val="005262CC"/>
    <w:rsid w:val="0052684C"/>
    <w:rsid w:val="00526874"/>
    <w:rsid w:val="00527613"/>
    <w:rsid w:val="00532617"/>
    <w:rsid w:val="00533253"/>
    <w:rsid w:val="005335FD"/>
    <w:rsid w:val="005336CE"/>
    <w:rsid w:val="00536AD2"/>
    <w:rsid w:val="00540C77"/>
    <w:rsid w:val="00542F95"/>
    <w:rsid w:val="00544386"/>
    <w:rsid w:val="00544F68"/>
    <w:rsid w:val="0055074D"/>
    <w:rsid w:val="00552762"/>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64B5"/>
    <w:rsid w:val="0058723C"/>
    <w:rsid w:val="00587D02"/>
    <w:rsid w:val="00587F97"/>
    <w:rsid w:val="00593BF0"/>
    <w:rsid w:val="00594EC5"/>
    <w:rsid w:val="005A2167"/>
    <w:rsid w:val="005A2255"/>
    <w:rsid w:val="005A324E"/>
    <w:rsid w:val="005A55A6"/>
    <w:rsid w:val="005A7B37"/>
    <w:rsid w:val="005B0633"/>
    <w:rsid w:val="005B0918"/>
    <w:rsid w:val="005B0E70"/>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3527"/>
    <w:rsid w:val="005E4673"/>
    <w:rsid w:val="005E55E4"/>
    <w:rsid w:val="005F0E8C"/>
    <w:rsid w:val="005F10A1"/>
    <w:rsid w:val="005F24A5"/>
    <w:rsid w:val="005F24EA"/>
    <w:rsid w:val="005F4057"/>
    <w:rsid w:val="005F6DE3"/>
    <w:rsid w:val="005F718B"/>
    <w:rsid w:val="00600FE1"/>
    <w:rsid w:val="00603234"/>
    <w:rsid w:val="0060390E"/>
    <w:rsid w:val="006040A2"/>
    <w:rsid w:val="00606060"/>
    <w:rsid w:val="00606D8E"/>
    <w:rsid w:val="00610505"/>
    <w:rsid w:val="00610721"/>
    <w:rsid w:val="00610CAB"/>
    <w:rsid w:val="00610DF2"/>
    <w:rsid w:val="006124D2"/>
    <w:rsid w:val="00612EFD"/>
    <w:rsid w:val="0061521B"/>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57EBA"/>
    <w:rsid w:val="00661053"/>
    <w:rsid w:val="006635AB"/>
    <w:rsid w:val="00663713"/>
    <w:rsid w:val="006666D0"/>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5C01"/>
    <w:rsid w:val="006C6FD9"/>
    <w:rsid w:val="006C719D"/>
    <w:rsid w:val="006D06E8"/>
    <w:rsid w:val="006D179F"/>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41C67"/>
    <w:rsid w:val="007540B3"/>
    <w:rsid w:val="0075617E"/>
    <w:rsid w:val="00756739"/>
    <w:rsid w:val="007612BE"/>
    <w:rsid w:val="0076188A"/>
    <w:rsid w:val="00761CCB"/>
    <w:rsid w:val="00762C21"/>
    <w:rsid w:val="00763C0B"/>
    <w:rsid w:val="00765957"/>
    <w:rsid w:val="0076607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253A"/>
    <w:rsid w:val="007B296F"/>
    <w:rsid w:val="007B3B1E"/>
    <w:rsid w:val="007C0872"/>
    <w:rsid w:val="007C1C58"/>
    <w:rsid w:val="007C3850"/>
    <w:rsid w:val="007C3C5E"/>
    <w:rsid w:val="007C3DD7"/>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6A57"/>
    <w:rsid w:val="00871BA6"/>
    <w:rsid w:val="00872051"/>
    <w:rsid w:val="00874E94"/>
    <w:rsid w:val="00876569"/>
    <w:rsid w:val="00877A83"/>
    <w:rsid w:val="008806C2"/>
    <w:rsid w:val="00880DC2"/>
    <w:rsid w:val="00881CAD"/>
    <w:rsid w:val="00886CC5"/>
    <w:rsid w:val="00890F6D"/>
    <w:rsid w:val="00892334"/>
    <w:rsid w:val="0089636A"/>
    <w:rsid w:val="008963E5"/>
    <w:rsid w:val="00897B6E"/>
    <w:rsid w:val="008A1BD8"/>
    <w:rsid w:val="008A1EA6"/>
    <w:rsid w:val="008A3666"/>
    <w:rsid w:val="008A3772"/>
    <w:rsid w:val="008A7796"/>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4032D"/>
    <w:rsid w:val="009407F0"/>
    <w:rsid w:val="009424CD"/>
    <w:rsid w:val="00943184"/>
    <w:rsid w:val="00944409"/>
    <w:rsid w:val="0095089B"/>
    <w:rsid w:val="00951EA9"/>
    <w:rsid w:val="00952609"/>
    <w:rsid w:val="009534A1"/>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458A"/>
    <w:rsid w:val="009A54EE"/>
    <w:rsid w:val="009A608F"/>
    <w:rsid w:val="009A6210"/>
    <w:rsid w:val="009A766E"/>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D6697"/>
    <w:rsid w:val="009D7896"/>
    <w:rsid w:val="009E008A"/>
    <w:rsid w:val="009E0814"/>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538"/>
    <w:rsid w:val="00A41E32"/>
    <w:rsid w:val="00A4208B"/>
    <w:rsid w:val="00A43C84"/>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8461E"/>
    <w:rsid w:val="00A90CFD"/>
    <w:rsid w:val="00A921C7"/>
    <w:rsid w:val="00A92519"/>
    <w:rsid w:val="00A93031"/>
    <w:rsid w:val="00AA1DDD"/>
    <w:rsid w:val="00AA2F30"/>
    <w:rsid w:val="00AA5A47"/>
    <w:rsid w:val="00AA710E"/>
    <w:rsid w:val="00AB0E52"/>
    <w:rsid w:val="00AB3720"/>
    <w:rsid w:val="00AB56BE"/>
    <w:rsid w:val="00AB64B7"/>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CEA"/>
    <w:rsid w:val="00AF2389"/>
    <w:rsid w:val="00AF35D4"/>
    <w:rsid w:val="00AF3C9F"/>
    <w:rsid w:val="00AF4058"/>
    <w:rsid w:val="00AF6180"/>
    <w:rsid w:val="00B0029A"/>
    <w:rsid w:val="00B00DE4"/>
    <w:rsid w:val="00B043E8"/>
    <w:rsid w:val="00B04902"/>
    <w:rsid w:val="00B04E40"/>
    <w:rsid w:val="00B04E8A"/>
    <w:rsid w:val="00B06644"/>
    <w:rsid w:val="00B125F3"/>
    <w:rsid w:val="00B12D99"/>
    <w:rsid w:val="00B13F0C"/>
    <w:rsid w:val="00B1639B"/>
    <w:rsid w:val="00B22085"/>
    <w:rsid w:val="00B2583B"/>
    <w:rsid w:val="00B27530"/>
    <w:rsid w:val="00B27F26"/>
    <w:rsid w:val="00B34A7B"/>
    <w:rsid w:val="00B34DEA"/>
    <w:rsid w:val="00B3507E"/>
    <w:rsid w:val="00B3746E"/>
    <w:rsid w:val="00B423DA"/>
    <w:rsid w:val="00B42FA9"/>
    <w:rsid w:val="00B43367"/>
    <w:rsid w:val="00B44BBB"/>
    <w:rsid w:val="00B45303"/>
    <w:rsid w:val="00B478D5"/>
    <w:rsid w:val="00B47BAA"/>
    <w:rsid w:val="00B51104"/>
    <w:rsid w:val="00B52B2B"/>
    <w:rsid w:val="00B53197"/>
    <w:rsid w:val="00B53E52"/>
    <w:rsid w:val="00B57FE0"/>
    <w:rsid w:val="00B61A5B"/>
    <w:rsid w:val="00B6278E"/>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3198"/>
    <w:rsid w:val="00BC5E82"/>
    <w:rsid w:val="00BD319A"/>
    <w:rsid w:val="00BD6ED4"/>
    <w:rsid w:val="00BE1438"/>
    <w:rsid w:val="00BE3A68"/>
    <w:rsid w:val="00BE3C41"/>
    <w:rsid w:val="00BE42B4"/>
    <w:rsid w:val="00BE43FB"/>
    <w:rsid w:val="00BE4F8D"/>
    <w:rsid w:val="00BE604A"/>
    <w:rsid w:val="00BF055E"/>
    <w:rsid w:val="00BF1884"/>
    <w:rsid w:val="00BF687D"/>
    <w:rsid w:val="00BF7E3F"/>
    <w:rsid w:val="00C06DB3"/>
    <w:rsid w:val="00C0741B"/>
    <w:rsid w:val="00C11068"/>
    <w:rsid w:val="00C12870"/>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435D"/>
    <w:rsid w:val="00C65D8B"/>
    <w:rsid w:val="00C660A3"/>
    <w:rsid w:val="00C66FB1"/>
    <w:rsid w:val="00C72451"/>
    <w:rsid w:val="00C72BA8"/>
    <w:rsid w:val="00C73761"/>
    <w:rsid w:val="00C76A53"/>
    <w:rsid w:val="00C77FBF"/>
    <w:rsid w:val="00C810CF"/>
    <w:rsid w:val="00C815EB"/>
    <w:rsid w:val="00C81905"/>
    <w:rsid w:val="00C81C1B"/>
    <w:rsid w:val="00C83C0F"/>
    <w:rsid w:val="00C8586B"/>
    <w:rsid w:val="00C87391"/>
    <w:rsid w:val="00C87E27"/>
    <w:rsid w:val="00C942CD"/>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D005E"/>
    <w:rsid w:val="00CD12CE"/>
    <w:rsid w:val="00CD12F5"/>
    <w:rsid w:val="00CD14B9"/>
    <w:rsid w:val="00CD4433"/>
    <w:rsid w:val="00CD569B"/>
    <w:rsid w:val="00CD7718"/>
    <w:rsid w:val="00CD7AC1"/>
    <w:rsid w:val="00CE2F66"/>
    <w:rsid w:val="00CE7A05"/>
    <w:rsid w:val="00CF02AF"/>
    <w:rsid w:val="00CF1F1C"/>
    <w:rsid w:val="00CF2D86"/>
    <w:rsid w:val="00CF4B9F"/>
    <w:rsid w:val="00CF548C"/>
    <w:rsid w:val="00CF6289"/>
    <w:rsid w:val="00D01EF8"/>
    <w:rsid w:val="00D02067"/>
    <w:rsid w:val="00D03E8D"/>
    <w:rsid w:val="00D03EF2"/>
    <w:rsid w:val="00D05172"/>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62F71"/>
    <w:rsid w:val="00D63234"/>
    <w:rsid w:val="00D66F81"/>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40B2"/>
    <w:rsid w:val="00DA436C"/>
    <w:rsid w:val="00DA4D4A"/>
    <w:rsid w:val="00DA57E7"/>
    <w:rsid w:val="00DA588C"/>
    <w:rsid w:val="00DA6D14"/>
    <w:rsid w:val="00DB11A2"/>
    <w:rsid w:val="00DB305D"/>
    <w:rsid w:val="00DB4886"/>
    <w:rsid w:val="00DB58AA"/>
    <w:rsid w:val="00DB6073"/>
    <w:rsid w:val="00DC1911"/>
    <w:rsid w:val="00DC1D89"/>
    <w:rsid w:val="00DC3C74"/>
    <w:rsid w:val="00DC4727"/>
    <w:rsid w:val="00DC5957"/>
    <w:rsid w:val="00DC5ED3"/>
    <w:rsid w:val="00DC6D5B"/>
    <w:rsid w:val="00DC75B9"/>
    <w:rsid w:val="00DD0418"/>
    <w:rsid w:val="00DD0ADF"/>
    <w:rsid w:val="00DD14A5"/>
    <w:rsid w:val="00DD1922"/>
    <w:rsid w:val="00DD457E"/>
    <w:rsid w:val="00DD46A0"/>
    <w:rsid w:val="00DD49DF"/>
    <w:rsid w:val="00DD4BBF"/>
    <w:rsid w:val="00DD5792"/>
    <w:rsid w:val="00DD6077"/>
    <w:rsid w:val="00DD6701"/>
    <w:rsid w:val="00DE2662"/>
    <w:rsid w:val="00DE48B7"/>
    <w:rsid w:val="00DE4CF7"/>
    <w:rsid w:val="00DE71DC"/>
    <w:rsid w:val="00DE7966"/>
    <w:rsid w:val="00DF2084"/>
    <w:rsid w:val="00DF23A1"/>
    <w:rsid w:val="00DF39F7"/>
    <w:rsid w:val="00DF61B0"/>
    <w:rsid w:val="00DF62C0"/>
    <w:rsid w:val="00DF6D98"/>
    <w:rsid w:val="00E00321"/>
    <w:rsid w:val="00E01B89"/>
    <w:rsid w:val="00E0218D"/>
    <w:rsid w:val="00E02E16"/>
    <w:rsid w:val="00E03255"/>
    <w:rsid w:val="00E07EED"/>
    <w:rsid w:val="00E1004A"/>
    <w:rsid w:val="00E112D9"/>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DA0"/>
    <w:rsid w:val="00E736B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4726"/>
    <w:rsid w:val="00F06AB9"/>
    <w:rsid w:val="00F0787F"/>
    <w:rsid w:val="00F11EA0"/>
    <w:rsid w:val="00F133CF"/>
    <w:rsid w:val="00F143DB"/>
    <w:rsid w:val="00F14B01"/>
    <w:rsid w:val="00F16AC2"/>
    <w:rsid w:val="00F1745B"/>
    <w:rsid w:val="00F21BE9"/>
    <w:rsid w:val="00F21D2A"/>
    <w:rsid w:val="00F2530B"/>
    <w:rsid w:val="00F256FD"/>
    <w:rsid w:val="00F26003"/>
    <w:rsid w:val="00F26296"/>
    <w:rsid w:val="00F31C17"/>
    <w:rsid w:val="00F32FFB"/>
    <w:rsid w:val="00F33BB9"/>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31D7"/>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A56A5"/>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58F"/>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073089693">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78279777">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398CF-FCDF-4F8F-851E-8E0E8B5E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1202</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31</cp:revision>
  <dcterms:created xsi:type="dcterms:W3CDTF">2020-05-12T12:43:00Z</dcterms:created>
  <dcterms:modified xsi:type="dcterms:W3CDTF">2020-05-26T13:03:00Z</dcterms:modified>
</cp:coreProperties>
</file>