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C64FD0A" w:rsidR="00226288" w:rsidRPr="00226288" w:rsidRDefault="00226288" w:rsidP="00897BED">
      <w:pPr>
        <w:spacing w:line="480" w:lineRule="auto"/>
        <w:contextualSpacing/>
      </w:pPr>
      <w:r w:rsidRPr="00226288">
        <w:t xml:space="preserve">An </w:t>
      </w:r>
      <w:r w:rsidR="00081AC4">
        <w:t>Image</w:t>
      </w:r>
      <w:r w:rsidRPr="00226288">
        <w:t xml:space="preserve"> of the Future – </w:t>
      </w:r>
      <w:r w:rsidR="00210E4A">
        <w:t>Entity 35</w:t>
      </w:r>
      <w:r w:rsidRPr="00226288">
        <w:t xml:space="preserve"> and Regional Service District </w:t>
      </w:r>
      <w:r w:rsidR="001662BC">
        <w:t>8</w:t>
      </w:r>
    </w:p>
    <w:p w14:paraId="70CB123F" w14:textId="0133880A"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210E4A">
        <w:rPr>
          <w:rFonts w:eastAsia="Times New Roman"/>
        </w:rPr>
        <w:t>Entity 35</w:t>
      </w:r>
      <w:r w:rsidR="006736F1">
        <w:rPr>
          <w:rFonts w:eastAsia="Times New Roman"/>
        </w:rPr>
        <w:t>.</w:t>
      </w:r>
      <w:r w:rsidRPr="00226288">
        <w:rPr>
          <w:rFonts w:eastAsia="Times New Roman"/>
        </w:rPr>
        <w:t xml:space="preserve"> For the duration of this discussion the municipality shall be referred to as </w:t>
      </w:r>
      <w:r w:rsidR="00210E4A">
        <w:rPr>
          <w:rFonts w:eastAsia="Times New Roman"/>
        </w:rPr>
        <w:t>Entity 35</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5E7FB6">
        <w:rPr>
          <w:rFonts w:eastAsia="Times New Roman"/>
        </w:rPr>
        <w:t>Sussex</w:t>
      </w:r>
      <w:r w:rsidR="00DF78DE">
        <w:rPr>
          <w:rFonts w:eastAsia="Times New Roman"/>
        </w:rPr>
        <w:t xml:space="preserve"> or Hillsborough</w:t>
      </w:r>
      <w:r w:rsidR="00E03255">
        <w:rPr>
          <w:rFonts w:eastAsia="Times New Roman"/>
        </w:rPr>
        <w:t>,</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40B4781" w:rsidR="00226288" w:rsidRPr="00226288" w:rsidRDefault="00E03255" w:rsidP="00226288">
      <w:pPr>
        <w:rPr>
          <w:b/>
          <w:bCs/>
        </w:rPr>
      </w:pPr>
      <w:r>
        <w:rPr>
          <w:noProof/>
          <w:szCs w:val="24"/>
        </w:rPr>
        <w:drawing>
          <wp:anchor distT="0" distB="0" distL="114300" distR="114300" simplePos="0" relativeHeight="251654144" behindDoc="0" locked="0" layoutInCell="1" allowOverlap="1" wp14:anchorId="4E73665D" wp14:editId="750086AF">
            <wp:simplePos x="0" y="0"/>
            <wp:positionH relativeFrom="column">
              <wp:posOffset>3539490</wp:posOffset>
            </wp:positionH>
            <wp:positionV relativeFrom="paragraph">
              <wp:posOffset>-1905</wp:posOffset>
            </wp:positionV>
            <wp:extent cx="2401570" cy="2743200"/>
            <wp:effectExtent l="0" t="0" r="0" b="0"/>
            <wp:wrapThrough wrapText="bothSides">
              <wp:wrapPolygon edited="0">
                <wp:start x="343" y="0"/>
                <wp:lineTo x="0" y="450"/>
                <wp:lineTo x="0" y="19650"/>
                <wp:lineTo x="171" y="20400"/>
                <wp:lineTo x="343" y="20700"/>
                <wp:lineTo x="21075" y="20700"/>
                <wp:lineTo x="21246" y="20400"/>
                <wp:lineTo x="21417" y="19650"/>
                <wp:lineTo x="21417" y="450"/>
                <wp:lineTo x="21075" y="0"/>
                <wp:lineTo x="34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78" t="2240" r="12012" b="-4420"/>
                    <a:stretch/>
                  </pic:blipFill>
                  <pic:spPr bwMode="auto">
                    <a:xfrm>
                      <a:off x="0" y="0"/>
                      <a:ext cx="2401570" cy="274320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705DE9F0" w:rsidR="007C1C58" w:rsidRPr="003E682B" w:rsidRDefault="00210E4A" w:rsidP="00400E1B">
      <w:pPr>
        <w:jc w:val="both"/>
        <w:rPr>
          <w:rFonts w:eastAsia="Times New Roman"/>
          <w:color w:val="000000"/>
          <w:sz w:val="20"/>
          <w:szCs w:val="20"/>
          <w:lang w:val="en-CA" w:eastAsia="en-CA"/>
        </w:rPr>
      </w:pPr>
      <w:r>
        <w:rPr>
          <w:szCs w:val="24"/>
        </w:rPr>
        <w:t>Entity 35</w:t>
      </w:r>
      <w:r w:rsidR="00D02067">
        <w:rPr>
          <w:szCs w:val="24"/>
        </w:rPr>
        <w:t xml:space="preserve"> </w:t>
      </w:r>
      <w:r w:rsidR="00D02067" w:rsidRPr="003E682B">
        <w:rPr>
          <w:szCs w:val="24"/>
        </w:rPr>
        <w:t xml:space="preserve">would be comprised of </w:t>
      </w:r>
      <w:r w:rsidR="00CA333E" w:rsidRPr="003E682B">
        <w:rPr>
          <w:szCs w:val="24"/>
        </w:rPr>
        <w:t xml:space="preserve">the </w:t>
      </w:r>
      <w:r w:rsidR="00A06D0D">
        <w:rPr>
          <w:szCs w:val="24"/>
        </w:rPr>
        <w:t xml:space="preserve">Town of Sussex, </w:t>
      </w:r>
      <w:r w:rsidR="009B34E0">
        <w:rPr>
          <w:szCs w:val="24"/>
        </w:rPr>
        <w:t xml:space="preserve">Village of </w:t>
      </w:r>
      <w:r w:rsidR="006618B9">
        <w:rPr>
          <w:szCs w:val="24"/>
        </w:rPr>
        <w:t>Sussex Corner</w:t>
      </w:r>
      <w:r w:rsidR="009B34E0">
        <w:rPr>
          <w:szCs w:val="24"/>
        </w:rPr>
        <w:t xml:space="preserve">, </w:t>
      </w:r>
      <w:r w:rsidR="006618B9">
        <w:rPr>
          <w:szCs w:val="24"/>
        </w:rPr>
        <w:t xml:space="preserve">and the Brunswick, </w:t>
      </w:r>
      <w:proofErr w:type="spellStart"/>
      <w:r w:rsidR="006618B9">
        <w:rPr>
          <w:szCs w:val="24"/>
        </w:rPr>
        <w:t>Waterborough</w:t>
      </w:r>
      <w:proofErr w:type="spellEnd"/>
      <w:r w:rsidR="006618B9">
        <w:rPr>
          <w:szCs w:val="24"/>
        </w:rPr>
        <w:t xml:space="preserve">, Johnston, Havelock, </w:t>
      </w:r>
      <w:proofErr w:type="spellStart"/>
      <w:r w:rsidR="009A3CB8">
        <w:rPr>
          <w:szCs w:val="24"/>
        </w:rPr>
        <w:t>Studholm</w:t>
      </w:r>
      <w:proofErr w:type="spellEnd"/>
      <w:r w:rsidR="009A3CB8">
        <w:rPr>
          <w:szCs w:val="24"/>
        </w:rPr>
        <w:t>, Cardwell, Waterford, Hammond, and Sussex LSDs</w:t>
      </w:r>
      <w:r w:rsidR="0058183A" w:rsidRPr="003E682B">
        <w:rPr>
          <w:szCs w:val="24"/>
        </w:rPr>
        <w:t>.</w:t>
      </w:r>
      <w:r w:rsidR="00830C55">
        <w:rPr>
          <w:szCs w:val="24"/>
        </w:rPr>
        <w:t xml:space="preserve"> Most of the entity’s Crown Lands would be concentrated </w:t>
      </w:r>
      <w:r w:rsidR="00AF038D">
        <w:rPr>
          <w:szCs w:val="24"/>
        </w:rPr>
        <w:t xml:space="preserve">in </w:t>
      </w:r>
      <w:r w:rsidR="00021D5B">
        <w:rPr>
          <w:szCs w:val="24"/>
        </w:rPr>
        <w:t>Queens County and Hammond and Waterford LSDs</w:t>
      </w:r>
      <w:r w:rsidR="00397398">
        <w:rPr>
          <w:szCs w:val="24"/>
        </w:rPr>
        <w:t xml:space="preserve">. </w:t>
      </w:r>
    </w:p>
    <w:p w14:paraId="4750B350" w14:textId="7A9A4E6F" w:rsidR="00226288" w:rsidRPr="00226288" w:rsidRDefault="00226288" w:rsidP="00226288">
      <w:pPr>
        <w:rPr>
          <w:rFonts w:eastAsia="Times New Roman"/>
          <w:b/>
          <w:bCs/>
        </w:rPr>
      </w:pPr>
      <w:r w:rsidRPr="00226288">
        <w:rPr>
          <w:rFonts w:eastAsia="Times New Roman"/>
          <w:b/>
          <w:bCs/>
        </w:rPr>
        <w:t>Demographic Base</w:t>
      </w:r>
    </w:p>
    <w:p w14:paraId="4A234E1E" w14:textId="448557D3"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C3031E">
        <w:rPr>
          <w:rFonts w:eastAsia="Times New Roman"/>
          <w:color w:val="000000" w:themeColor="text1"/>
          <w:szCs w:val="24"/>
        </w:rPr>
        <w:t>165</w:t>
      </w:r>
      <w:r w:rsidR="00693708">
        <w:rPr>
          <w:rFonts w:eastAsia="Times New Roman"/>
          <w:color w:val="000000" w:themeColor="text1"/>
          <w:szCs w:val="24"/>
        </w:rPr>
        <w:t>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decrease of </w:t>
      </w:r>
      <w:r w:rsidR="00F06AB7">
        <w:rPr>
          <w:szCs w:val="24"/>
        </w:rPr>
        <w:t>3</w:t>
      </w:r>
      <w:r w:rsidR="00283C29">
        <w:rPr>
          <w:szCs w:val="24"/>
        </w:rPr>
        <w:t>% from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210E4A">
        <w:rPr>
          <w:rFonts w:eastAsia="Times New Roman"/>
          <w:color w:val="000000" w:themeColor="text1"/>
          <w:szCs w:val="24"/>
        </w:rPr>
        <w:t>Entity 35</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22623515"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C947AC">
        <w:rPr>
          <w:rFonts w:eastAsia="Times New Roman"/>
          <w:color w:val="000000" w:themeColor="text1"/>
          <w:szCs w:val="24"/>
        </w:rPr>
        <w:t>65</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Entity </w:t>
      </w:r>
      <w:r w:rsidR="00A910B8">
        <w:rPr>
          <w:rFonts w:eastAsia="Times New Roman"/>
          <w:color w:val="000000" w:themeColor="text1"/>
          <w:szCs w:val="24"/>
        </w:rPr>
        <w:t>35</w:t>
      </w:r>
      <w:r>
        <w:rPr>
          <w:rFonts w:eastAsia="Times New Roman"/>
          <w:color w:val="000000" w:themeColor="text1"/>
          <w:szCs w:val="24"/>
        </w:rPr>
        <w:t xml:space="preserve"> would therefore benefit the residents of the affected LSDs by enabling them to use the resources they possess and control this development through local representative institutions. </w:t>
      </w:r>
    </w:p>
    <w:tbl>
      <w:tblPr>
        <w:tblpPr w:leftFromText="180" w:rightFromText="180" w:vertAnchor="text" w:horzAnchor="margin" w:tblpY="73"/>
        <w:tblOverlap w:val="never"/>
        <w:tblW w:w="5797" w:type="dxa"/>
        <w:tblLook w:val="04A0" w:firstRow="1" w:lastRow="0" w:firstColumn="1" w:lastColumn="0" w:noHBand="0" w:noVBand="1"/>
      </w:tblPr>
      <w:tblGrid>
        <w:gridCol w:w="2520"/>
        <w:gridCol w:w="1640"/>
        <w:gridCol w:w="1637"/>
      </w:tblGrid>
      <w:tr w:rsidR="00DD2FA3" w14:paraId="21CBE04F" w14:textId="77777777" w:rsidTr="00DD2FA3">
        <w:trPr>
          <w:trHeight w:val="310"/>
        </w:trPr>
        <w:tc>
          <w:tcPr>
            <w:tcW w:w="5797" w:type="dxa"/>
            <w:gridSpan w:val="3"/>
            <w:tcBorders>
              <w:top w:val="nil"/>
              <w:left w:val="nil"/>
              <w:bottom w:val="single" w:sz="8" w:space="0" w:color="BFBFBF"/>
              <w:right w:val="nil"/>
            </w:tcBorders>
            <w:shd w:val="clear" w:color="auto" w:fill="auto"/>
            <w:noWrap/>
            <w:vAlign w:val="center"/>
            <w:hideMark/>
          </w:tcPr>
          <w:p w14:paraId="70B66EF7" w14:textId="77777777" w:rsidR="00DD2FA3" w:rsidRDefault="00DD2FA3" w:rsidP="00DD2FA3">
            <w:pPr>
              <w:spacing w:after="0"/>
              <w:jc w:val="center"/>
              <w:rPr>
                <w:b/>
                <w:bCs/>
                <w:color w:val="000000"/>
              </w:rPr>
            </w:pPr>
            <w:r>
              <w:rPr>
                <w:b/>
                <w:bCs/>
                <w:color w:val="000000"/>
              </w:rPr>
              <w:t>Voter Turnout by Existing Municipality</w:t>
            </w:r>
          </w:p>
        </w:tc>
      </w:tr>
      <w:tr w:rsidR="00DD2FA3" w14:paraId="0F371BD4" w14:textId="77777777" w:rsidTr="00DD2FA3">
        <w:trPr>
          <w:trHeight w:val="970"/>
        </w:trPr>
        <w:tc>
          <w:tcPr>
            <w:tcW w:w="2520" w:type="dxa"/>
            <w:tcBorders>
              <w:top w:val="nil"/>
              <w:left w:val="nil"/>
              <w:bottom w:val="nil"/>
              <w:right w:val="nil"/>
            </w:tcBorders>
            <w:shd w:val="clear" w:color="4472C4" w:fill="4472C4"/>
            <w:vAlign w:val="center"/>
            <w:hideMark/>
          </w:tcPr>
          <w:p w14:paraId="256903CD" w14:textId="77777777" w:rsidR="00DD2FA3" w:rsidRDefault="00DD2FA3" w:rsidP="00DD2FA3">
            <w:pPr>
              <w:spacing w:after="0"/>
              <w:jc w:val="center"/>
              <w:rPr>
                <w:b/>
                <w:bCs/>
                <w:color w:val="000000"/>
              </w:rPr>
            </w:pPr>
            <w:r>
              <w:rPr>
                <w:b/>
                <w:bCs/>
                <w:color w:val="000000"/>
              </w:rPr>
              <w:t>Municipality</w:t>
            </w:r>
          </w:p>
        </w:tc>
        <w:tc>
          <w:tcPr>
            <w:tcW w:w="1640" w:type="dxa"/>
            <w:tcBorders>
              <w:top w:val="nil"/>
              <w:left w:val="single" w:sz="4" w:space="0" w:color="FFFFFF"/>
              <w:bottom w:val="nil"/>
              <w:right w:val="nil"/>
            </w:tcBorders>
            <w:shd w:val="clear" w:color="4472C4" w:fill="4472C4"/>
            <w:hideMark/>
          </w:tcPr>
          <w:p w14:paraId="48C3A5CA" w14:textId="77777777" w:rsidR="00DD2FA3" w:rsidRDefault="00DD2FA3" w:rsidP="00DD2FA3">
            <w:pPr>
              <w:spacing w:after="0"/>
              <w:jc w:val="center"/>
              <w:rPr>
                <w:b/>
                <w:bCs/>
                <w:color w:val="000000"/>
              </w:rPr>
            </w:pPr>
            <w:r>
              <w:rPr>
                <w:b/>
                <w:bCs/>
                <w:color w:val="000000"/>
              </w:rPr>
              <w:t>Voter Participation 2012</w:t>
            </w:r>
            <w:r>
              <w:rPr>
                <w:b/>
                <w:bCs/>
                <w:color w:val="000000"/>
                <w:vertAlign w:val="superscript"/>
              </w:rPr>
              <w:t>1</w:t>
            </w:r>
          </w:p>
        </w:tc>
        <w:tc>
          <w:tcPr>
            <w:tcW w:w="1637" w:type="dxa"/>
            <w:tcBorders>
              <w:top w:val="nil"/>
              <w:left w:val="single" w:sz="4" w:space="0" w:color="FFFFFF"/>
              <w:bottom w:val="nil"/>
              <w:right w:val="nil"/>
            </w:tcBorders>
            <w:shd w:val="clear" w:color="4472C4" w:fill="4472C4"/>
            <w:hideMark/>
          </w:tcPr>
          <w:p w14:paraId="14BC19D1" w14:textId="77777777" w:rsidR="00DD2FA3" w:rsidRDefault="00DD2FA3" w:rsidP="00DD2FA3">
            <w:pPr>
              <w:spacing w:after="0"/>
              <w:jc w:val="center"/>
              <w:rPr>
                <w:b/>
                <w:bCs/>
                <w:color w:val="000000"/>
              </w:rPr>
            </w:pPr>
            <w:r>
              <w:rPr>
                <w:b/>
                <w:bCs/>
                <w:color w:val="000000"/>
              </w:rPr>
              <w:t>Voter Participation 2016</w:t>
            </w:r>
            <w:r>
              <w:rPr>
                <w:b/>
                <w:bCs/>
                <w:color w:val="000000"/>
                <w:vertAlign w:val="superscript"/>
              </w:rPr>
              <w:t>2</w:t>
            </w:r>
          </w:p>
        </w:tc>
      </w:tr>
      <w:tr w:rsidR="00DD2FA3" w14:paraId="5E4049CC" w14:textId="77777777" w:rsidTr="00DD2FA3">
        <w:trPr>
          <w:trHeight w:val="330"/>
        </w:trPr>
        <w:tc>
          <w:tcPr>
            <w:tcW w:w="2520" w:type="dxa"/>
            <w:tcBorders>
              <w:top w:val="single" w:sz="12" w:space="0" w:color="FFFFFF"/>
              <w:left w:val="nil"/>
              <w:bottom w:val="nil"/>
              <w:right w:val="nil"/>
            </w:tcBorders>
            <w:shd w:val="clear" w:color="B4C6E7" w:fill="B4C6E7"/>
            <w:noWrap/>
            <w:vAlign w:val="bottom"/>
            <w:hideMark/>
          </w:tcPr>
          <w:p w14:paraId="503350A2" w14:textId="77777777" w:rsidR="00DD2FA3" w:rsidRDefault="00DD2FA3" w:rsidP="00DD2FA3">
            <w:pPr>
              <w:spacing w:after="0"/>
              <w:rPr>
                <w:color w:val="000000"/>
              </w:rPr>
            </w:pPr>
            <w:r>
              <w:rPr>
                <w:color w:val="000000"/>
              </w:rPr>
              <w:t>Sussex Corner</w:t>
            </w:r>
          </w:p>
        </w:tc>
        <w:tc>
          <w:tcPr>
            <w:tcW w:w="1640" w:type="dxa"/>
            <w:tcBorders>
              <w:top w:val="single" w:sz="12" w:space="0" w:color="FFFFFF"/>
              <w:left w:val="single" w:sz="4" w:space="0" w:color="FFFFFF"/>
              <w:bottom w:val="nil"/>
              <w:right w:val="nil"/>
            </w:tcBorders>
            <w:shd w:val="clear" w:color="B4C6E7" w:fill="B4C6E7"/>
            <w:noWrap/>
            <w:vAlign w:val="bottom"/>
            <w:hideMark/>
          </w:tcPr>
          <w:p w14:paraId="5BA92EAB" w14:textId="77777777" w:rsidR="00DD2FA3" w:rsidRDefault="00DD2FA3" w:rsidP="00DD2FA3">
            <w:pPr>
              <w:spacing w:after="0"/>
              <w:jc w:val="right"/>
              <w:rPr>
                <w:color w:val="000000"/>
              </w:rPr>
            </w:pPr>
            <w:r>
              <w:rPr>
                <w:color w:val="000000"/>
              </w:rPr>
              <w:t>45.34%</w:t>
            </w:r>
          </w:p>
        </w:tc>
        <w:tc>
          <w:tcPr>
            <w:tcW w:w="1637" w:type="dxa"/>
            <w:tcBorders>
              <w:top w:val="single" w:sz="12" w:space="0" w:color="FFFFFF"/>
              <w:left w:val="single" w:sz="4" w:space="0" w:color="FFFFFF"/>
              <w:bottom w:val="nil"/>
              <w:right w:val="nil"/>
            </w:tcBorders>
            <w:shd w:val="clear" w:color="B4C6E7" w:fill="B4C6E7"/>
            <w:noWrap/>
            <w:vAlign w:val="bottom"/>
            <w:hideMark/>
          </w:tcPr>
          <w:p w14:paraId="04702B78" w14:textId="77777777" w:rsidR="00DD2FA3" w:rsidRDefault="00DD2FA3" w:rsidP="00DD2FA3">
            <w:pPr>
              <w:spacing w:after="0"/>
              <w:jc w:val="right"/>
              <w:rPr>
                <w:color w:val="000000"/>
              </w:rPr>
            </w:pPr>
            <w:r>
              <w:rPr>
                <w:color w:val="000000"/>
              </w:rPr>
              <w:t>46.17%</w:t>
            </w:r>
          </w:p>
        </w:tc>
      </w:tr>
      <w:tr w:rsidR="00DD2FA3" w14:paraId="73AD555C" w14:textId="77777777" w:rsidTr="00DD2FA3">
        <w:trPr>
          <w:trHeight w:val="320"/>
        </w:trPr>
        <w:tc>
          <w:tcPr>
            <w:tcW w:w="2520" w:type="dxa"/>
            <w:tcBorders>
              <w:top w:val="single" w:sz="4" w:space="0" w:color="FFFFFF"/>
              <w:left w:val="nil"/>
              <w:bottom w:val="nil"/>
              <w:right w:val="nil"/>
            </w:tcBorders>
            <w:shd w:val="clear" w:color="D9E1F2" w:fill="D9E1F2"/>
            <w:noWrap/>
            <w:vAlign w:val="bottom"/>
            <w:hideMark/>
          </w:tcPr>
          <w:p w14:paraId="635C0195" w14:textId="77777777" w:rsidR="00DD2FA3" w:rsidRDefault="00DD2FA3" w:rsidP="00DD2FA3">
            <w:pPr>
              <w:spacing w:after="0"/>
              <w:rPr>
                <w:color w:val="000000"/>
              </w:rPr>
            </w:pPr>
            <w:r>
              <w:rPr>
                <w:color w:val="000000"/>
              </w:rPr>
              <w:t>Sussex</w:t>
            </w:r>
          </w:p>
        </w:tc>
        <w:tc>
          <w:tcPr>
            <w:tcW w:w="1640" w:type="dxa"/>
            <w:tcBorders>
              <w:top w:val="single" w:sz="4" w:space="0" w:color="FFFFFF"/>
              <w:left w:val="single" w:sz="4" w:space="0" w:color="FFFFFF"/>
              <w:bottom w:val="nil"/>
              <w:right w:val="nil"/>
            </w:tcBorders>
            <w:shd w:val="clear" w:color="D9E1F2" w:fill="D9E1F2"/>
            <w:noWrap/>
            <w:vAlign w:val="bottom"/>
            <w:hideMark/>
          </w:tcPr>
          <w:p w14:paraId="5BB58F3D" w14:textId="77777777" w:rsidR="00DD2FA3" w:rsidRDefault="00DD2FA3" w:rsidP="00DD2FA3">
            <w:pPr>
              <w:spacing w:after="0"/>
              <w:jc w:val="right"/>
              <w:rPr>
                <w:color w:val="000000"/>
              </w:rPr>
            </w:pPr>
            <w:r>
              <w:rPr>
                <w:color w:val="000000"/>
              </w:rPr>
              <w:t>52.25%</w:t>
            </w:r>
          </w:p>
        </w:tc>
        <w:tc>
          <w:tcPr>
            <w:tcW w:w="1637" w:type="dxa"/>
            <w:tcBorders>
              <w:top w:val="single" w:sz="4" w:space="0" w:color="FFFFFF"/>
              <w:left w:val="single" w:sz="4" w:space="0" w:color="FFFFFF"/>
              <w:bottom w:val="nil"/>
              <w:right w:val="nil"/>
            </w:tcBorders>
            <w:shd w:val="clear" w:color="D9E1F2" w:fill="D9E1F2"/>
            <w:noWrap/>
            <w:vAlign w:val="bottom"/>
            <w:hideMark/>
          </w:tcPr>
          <w:p w14:paraId="5F44F664" w14:textId="77777777" w:rsidR="00DD2FA3" w:rsidRDefault="00DD2FA3" w:rsidP="00DD2FA3">
            <w:pPr>
              <w:spacing w:after="0"/>
              <w:jc w:val="right"/>
              <w:rPr>
                <w:color w:val="000000"/>
              </w:rPr>
            </w:pPr>
            <w:r>
              <w:rPr>
                <w:color w:val="000000"/>
              </w:rPr>
              <w:t>33.40%</w:t>
            </w:r>
          </w:p>
        </w:tc>
      </w:tr>
      <w:tr w:rsidR="00DD2FA3" w14:paraId="1F447F47" w14:textId="77777777" w:rsidTr="00DD2FA3">
        <w:trPr>
          <w:trHeight w:val="310"/>
        </w:trPr>
        <w:tc>
          <w:tcPr>
            <w:tcW w:w="5797" w:type="dxa"/>
            <w:gridSpan w:val="3"/>
            <w:tcBorders>
              <w:top w:val="nil"/>
              <w:left w:val="nil"/>
              <w:bottom w:val="nil"/>
              <w:right w:val="nil"/>
            </w:tcBorders>
            <w:shd w:val="clear" w:color="auto" w:fill="auto"/>
            <w:noWrap/>
            <w:vAlign w:val="bottom"/>
            <w:hideMark/>
          </w:tcPr>
          <w:p w14:paraId="5BB08E00" w14:textId="77777777" w:rsidR="00DD2FA3" w:rsidRDefault="00DD2FA3" w:rsidP="00DD2FA3">
            <w:pPr>
              <w:rPr>
                <w:color w:val="000000"/>
                <w:sz w:val="20"/>
                <w:szCs w:val="20"/>
              </w:rPr>
            </w:pPr>
            <w:r>
              <w:rPr>
                <w:color w:val="000000"/>
                <w:sz w:val="20"/>
                <w:szCs w:val="20"/>
              </w:rPr>
              <w:t>1. Elections NB</w:t>
            </w:r>
          </w:p>
        </w:tc>
      </w:tr>
    </w:tbl>
    <w:p w14:paraId="0A4E5D5C" w14:textId="3A5B3A43" w:rsidR="003563EC" w:rsidRDefault="007353DE" w:rsidP="00900633">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entity’s existing municipalities’ democratic institutions. </w:t>
      </w:r>
      <w:r w:rsidR="00353D55">
        <w:rPr>
          <w:rFonts w:eastAsia="Times New Roman"/>
          <w:color w:val="000000" w:themeColor="text1"/>
          <w:szCs w:val="24"/>
        </w:rPr>
        <w:t xml:space="preserve">Since 2012, </w:t>
      </w:r>
      <w:r w:rsidR="005F1728">
        <w:rPr>
          <w:rFonts w:eastAsia="Times New Roman"/>
          <w:color w:val="000000" w:themeColor="text1"/>
          <w:szCs w:val="24"/>
        </w:rPr>
        <w:t xml:space="preserve">Sussex’s voter turnout rate has dropped nearly 30 points. While Sussex Corner’s turnout rate has increased, </w:t>
      </w:r>
      <w:r w:rsidR="00637CA8">
        <w:rPr>
          <w:rFonts w:eastAsia="Times New Roman"/>
          <w:color w:val="000000" w:themeColor="text1"/>
          <w:szCs w:val="24"/>
        </w:rPr>
        <w:t xml:space="preserve">its reported numbers are </w:t>
      </w:r>
      <w:proofErr w:type="gramStart"/>
      <w:r w:rsidR="00637CA8">
        <w:rPr>
          <w:rFonts w:eastAsia="Times New Roman"/>
          <w:color w:val="000000" w:themeColor="text1"/>
          <w:szCs w:val="24"/>
        </w:rPr>
        <w:t>fairly close</w:t>
      </w:r>
      <w:proofErr w:type="gramEnd"/>
      <w:r w:rsidR="00637CA8">
        <w:rPr>
          <w:rFonts w:eastAsia="Times New Roman"/>
          <w:color w:val="000000" w:themeColor="text1"/>
          <w:szCs w:val="24"/>
        </w:rPr>
        <w:t xml:space="preserve"> to the provincial average</w:t>
      </w:r>
      <w:r w:rsidR="00E71969">
        <w:rPr>
          <w:rFonts w:eastAsia="Times New Roman"/>
          <w:color w:val="000000" w:themeColor="text1"/>
          <w:szCs w:val="24"/>
        </w:rPr>
        <w:t xml:space="preserve"> </w:t>
      </w:r>
      <w:r w:rsidR="00E71969">
        <w:rPr>
          <w:rFonts w:eastAsia="Times New Roman"/>
          <w:color w:val="000000" w:themeColor="text1"/>
          <w:szCs w:val="24"/>
        </w:rPr>
        <w:lastRenderedPageBreak/>
        <w:t xml:space="preserve">which is already significantly lower than is to be desired. </w:t>
      </w:r>
      <w:r w:rsidR="003563EC">
        <w:rPr>
          <w:rFonts w:eastAsia="Times New Roman"/>
          <w:color w:val="000000" w:themeColor="text1"/>
          <w:szCs w:val="24"/>
        </w:rPr>
        <w:t xml:space="preserve">Furthermore, in 2018 Sussex </w:t>
      </w:r>
      <w:r w:rsidR="003622AC">
        <w:rPr>
          <w:rFonts w:eastAsia="Times New Roman"/>
          <w:color w:val="000000" w:themeColor="text1"/>
          <w:szCs w:val="24"/>
        </w:rPr>
        <w:t xml:space="preserve">had two by-elections for the position of mayor and </w:t>
      </w:r>
      <w:proofErr w:type="spellStart"/>
      <w:r w:rsidR="003622AC">
        <w:rPr>
          <w:rFonts w:eastAsia="Times New Roman"/>
          <w:color w:val="000000" w:themeColor="text1"/>
          <w:szCs w:val="24"/>
        </w:rPr>
        <w:t>councillor</w:t>
      </w:r>
      <w:proofErr w:type="spellEnd"/>
      <w:r w:rsidR="003622AC">
        <w:rPr>
          <w:rFonts w:eastAsia="Times New Roman"/>
          <w:color w:val="000000" w:themeColor="text1"/>
          <w:szCs w:val="24"/>
        </w:rPr>
        <w:t xml:space="preserve">. While the race for </w:t>
      </w:r>
      <w:proofErr w:type="spellStart"/>
      <w:r w:rsidR="003622AC">
        <w:rPr>
          <w:rFonts w:eastAsia="Times New Roman"/>
          <w:color w:val="000000" w:themeColor="text1"/>
          <w:szCs w:val="24"/>
        </w:rPr>
        <w:t>councillor</w:t>
      </w:r>
      <w:proofErr w:type="spellEnd"/>
      <w:r w:rsidR="003622AC">
        <w:rPr>
          <w:rFonts w:eastAsia="Times New Roman"/>
          <w:color w:val="000000" w:themeColor="text1"/>
          <w:szCs w:val="24"/>
        </w:rPr>
        <w:t xml:space="preserve"> was contested, the Mayoral race was de</w:t>
      </w:r>
      <w:r w:rsidR="00F24ABF">
        <w:rPr>
          <w:rFonts w:eastAsia="Times New Roman"/>
          <w:color w:val="000000" w:themeColor="text1"/>
          <w:szCs w:val="24"/>
        </w:rPr>
        <w:t xml:space="preserve">cided by </w:t>
      </w:r>
      <w:r w:rsidR="00A53502">
        <w:rPr>
          <w:rFonts w:eastAsia="Times New Roman"/>
          <w:color w:val="000000" w:themeColor="text1"/>
          <w:szCs w:val="24"/>
        </w:rPr>
        <w:t>acclamation</w:t>
      </w:r>
      <w:r w:rsidR="00F24ABF">
        <w:rPr>
          <w:rFonts w:eastAsia="Times New Roman"/>
          <w:color w:val="000000" w:themeColor="text1"/>
          <w:szCs w:val="24"/>
        </w:rPr>
        <w:t xml:space="preserve"> because only one candidate expressed interest. </w:t>
      </w:r>
    </w:p>
    <w:p w14:paraId="698C1A3B" w14:textId="617B7FFD" w:rsidR="00A36285" w:rsidRDefault="00A53502" w:rsidP="00900633">
      <w:pPr>
        <w:jc w:val="both"/>
        <w:rPr>
          <w:rFonts w:eastAsia="Times New Roman"/>
          <w:color w:val="000000" w:themeColor="text1"/>
          <w:szCs w:val="24"/>
        </w:rPr>
      </w:pPr>
      <w:r>
        <w:rPr>
          <w:rFonts w:eastAsia="Times New Roman"/>
          <w:color w:val="000000" w:themeColor="text1"/>
          <w:szCs w:val="24"/>
        </w:rPr>
        <w:t xml:space="preserve">These events represent a twofold challenge for the existing communities of the proposed entity. </w:t>
      </w:r>
      <w:r w:rsidR="000B3770">
        <w:rPr>
          <w:rFonts w:eastAsia="Times New Roman"/>
          <w:color w:val="000000" w:themeColor="text1"/>
          <w:szCs w:val="24"/>
        </w:rPr>
        <w:t>Low voter participation reduces the accountability of elected officials</w:t>
      </w:r>
      <w:r w:rsidR="00CE4B07">
        <w:rPr>
          <w:rFonts w:eastAsia="Times New Roman"/>
          <w:color w:val="000000" w:themeColor="text1"/>
          <w:szCs w:val="24"/>
        </w:rPr>
        <w:t>, weakening the power of local democratic institutions</w:t>
      </w:r>
      <w:r w:rsidR="00504D5B">
        <w:rPr>
          <w:rFonts w:eastAsia="Times New Roman"/>
          <w:color w:val="000000" w:themeColor="text1"/>
          <w:szCs w:val="24"/>
        </w:rPr>
        <w:t>.</w:t>
      </w:r>
      <w:r w:rsidR="00E12385">
        <w:rPr>
          <w:rFonts w:eastAsia="Times New Roman"/>
          <w:color w:val="000000" w:themeColor="text1"/>
          <w:szCs w:val="24"/>
        </w:rPr>
        <w:t xml:space="preserve"> While less quantifiable than voter participation, if a community cannot sustain a pool of interested, qualified, and dedicated potential candidates for public office, the community’s democratic institutions will suffer. A smaller candidate pool encourages further voter apathy as elections will be less competitive regardless of how many voters show up. </w:t>
      </w:r>
    </w:p>
    <w:tbl>
      <w:tblPr>
        <w:tblpPr w:leftFromText="180" w:rightFromText="180" w:vertAnchor="text" w:horzAnchor="margin" w:tblpY="155"/>
        <w:tblOverlap w:val="never"/>
        <w:tblW w:w="4716" w:type="dxa"/>
        <w:tblLook w:val="04A0" w:firstRow="1" w:lastRow="0" w:firstColumn="1" w:lastColumn="0" w:noHBand="0" w:noVBand="1"/>
      </w:tblPr>
      <w:tblGrid>
        <w:gridCol w:w="1875"/>
        <w:gridCol w:w="1424"/>
        <w:gridCol w:w="1417"/>
      </w:tblGrid>
      <w:tr w:rsidR="00F25617" w:rsidRPr="00F25617" w14:paraId="490AA26A" w14:textId="77777777" w:rsidTr="00F25617">
        <w:trPr>
          <w:trHeight w:val="310"/>
        </w:trPr>
        <w:tc>
          <w:tcPr>
            <w:tcW w:w="4716" w:type="dxa"/>
            <w:gridSpan w:val="3"/>
            <w:tcBorders>
              <w:top w:val="nil"/>
              <w:left w:val="nil"/>
              <w:bottom w:val="single" w:sz="4" w:space="0" w:color="FFFFFF"/>
              <w:right w:val="nil"/>
            </w:tcBorders>
            <w:shd w:val="clear" w:color="auto" w:fill="auto"/>
            <w:noWrap/>
            <w:vAlign w:val="center"/>
            <w:hideMark/>
          </w:tcPr>
          <w:p w14:paraId="45898D9D" w14:textId="77777777" w:rsidR="00F25617" w:rsidRPr="00F25617" w:rsidRDefault="00F25617" w:rsidP="00F25617">
            <w:pPr>
              <w:spacing w:after="0" w:line="240" w:lineRule="auto"/>
              <w:jc w:val="center"/>
              <w:rPr>
                <w:rFonts w:eastAsia="Times New Roman"/>
                <w:b/>
                <w:bCs/>
                <w:color w:val="000000"/>
                <w:sz w:val="20"/>
                <w:szCs w:val="20"/>
                <w:lang w:val="en-CA" w:eastAsia="en-CA"/>
              </w:rPr>
            </w:pPr>
            <w:r w:rsidRPr="00F25617">
              <w:rPr>
                <w:rFonts w:eastAsia="Times New Roman"/>
                <w:b/>
                <w:bCs/>
                <w:color w:val="000000"/>
                <w:sz w:val="20"/>
                <w:szCs w:val="20"/>
                <w:lang w:val="en-CA" w:eastAsia="en-CA"/>
              </w:rPr>
              <w:t>Status of By-Elections for Mayors and/or Councillors</w:t>
            </w:r>
          </w:p>
        </w:tc>
      </w:tr>
      <w:tr w:rsidR="00F25617" w:rsidRPr="00F25617" w14:paraId="5734F417" w14:textId="77777777" w:rsidTr="00F25617">
        <w:trPr>
          <w:trHeight w:val="970"/>
        </w:trPr>
        <w:tc>
          <w:tcPr>
            <w:tcW w:w="1875"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3805A94E" w14:textId="77777777" w:rsidR="00F25617" w:rsidRPr="00F25617" w:rsidRDefault="00F25617" w:rsidP="00F25617">
            <w:pPr>
              <w:spacing w:after="0" w:line="240" w:lineRule="auto"/>
              <w:jc w:val="center"/>
              <w:rPr>
                <w:rFonts w:eastAsia="Times New Roman"/>
                <w:b/>
                <w:bCs/>
                <w:color w:val="000000"/>
                <w:szCs w:val="24"/>
                <w:lang w:val="en-CA" w:eastAsia="en-CA"/>
              </w:rPr>
            </w:pPr>
            <w:r w:rsidRPr="00F25617">
              <w:rPr>
                <w:rFonts w:eastAsia="Times New Roman"/>
                <w:b/>
                <w:bCs/>
                <w:color w:val="000000"/>
                <w:szCs w:val="24"/>
                <w:lang w:val="en-CA" w:eastAsia="en-CA"/>
              </w:rPr>
              <w:t>Municipality</w:t>
            </w:r>
          </w:p>
        </w:tc>
        <w:tc>
          <w:tcPr>
            <w:tcW w:w="2841" w:type="dxa"/>
            <w:gridSpan w:val="2"/>
            <w:tcBorders>
              <w:top w:val="nil"/>
              <w:left w:val="nil"/>
              <w:bottom w:val="single" w:sz="4" w:space="0" w:color="FFFFFF"/>
              <w:right w:val="single" w:sz="4" w:space="0" w:color="FFFFFF"/>
            </w:tcBorders>
            <w:shd w:val="clear" w:color="4472C4" w:fill="4472C4"/>
            <w:vAlign w:val="center"/>
            <w:hideMark/>
          </w:tcPr>
          <w:p w14:paraId="4C3CE549" w14:textId="77777777" w:rsidR="00F25617" w:rsidRPr="00F25617" w:rsidRDefault="00F25617" w:rsidP="00F25617">
            <w:pPr>
              <w:spacing w:after="0" w:line="240" w:lineRule="auto"/>
              <w:jc w:val="center"/>
              <w:rPr>
                <w:rFonts w:eastAsia="Times New Roman"/>
                <w:b/>
                <w:bCs/>
                <w:color w:val="000000"/>
                <w:szCs w:val="24"/>
                <w:lang w:val="en-CA" w:eastAsia="en-CA"/>
              </w:rPr>
            </w:pPr>
            <w:r w:rsidRPr="00F25617">
              <w:rPr>
                <w:rFonts w:eastAsia="Times New Roman"/>
                <w:b/>
                <w:bCs/>
                <w:color w:val="000000"/>
                <w:szCs w:val="24"/>
                <w:lang w:val="en-CA" w:eastAsia="en-CA"/>
              </w:rPr>
              <w:t>2018 By-Election(s)</w:t>
            </w:r>
          </w:p>
        </w:tc>
      </w:tr>
      <w:tr w:rsidR="00F25617" w:rsidRPr="00F25617" w14:paraId="5A45EE17" w14:textId="77777777" w:rsidTr="00F25617">
        <w:trPr>
          <w:trHeight w:val="330"/>
        </w:trPr>
        <w:tc>
          <w:tcPr>
            <w:tcW w:w="1875" w:type="dxa"/>
            <w:vMerge/>
            <w:tcBorders>
              <w:top w:val="nil"/>
              <w:left w:val="single" w:sz="4" w:space="0" w:color="FFFFFF"/>
              <w:bottom w:val="single" w:sz="12" w:space="0" w:color="FFFFFF"/>
              <w:right w:val="single" w:sz="4" w:space="0" w:color="FFFFFF"/>
            </w:tcBorders>
            <w:vAlign w:val="center"/>
            <w:hideMark/>
          </w:tcPr>
          <w:p w14:paraId="2584F6A4" w14:textId="77777777" w:rsidR="00F25617" w:rsidRPr="00F25617" w:rsidRDefault="00F25617" w:rsidP="00F25617">
            <w:pPr>
              <w:spacing w:after="0" w:line="240" w:lineRule="auto"/>
              <w:rPr>
                <w:rFonts w:eastAsia="Times New Roman"/>
                <w:b/>
                <w:bCs/>
                <w:color w:val="000000"/>
                <w:szCs w:val="24"/>
                <w:lang w:val="en-CA" w:eastAsia="en-CA"/>
              </w:rPr>
            </w:pPr>
          </w:p>
        </w:tc>
        <w:tc>
          <w:tcPr>
            <w:tcW w:w="1424" w:type="dxa"/>
            <w:tcBorders>
              <w:top w:val="nil"/>
              <w:left w:val="nil"/>
              <w:bottom w:val="nil"/>
              <w:right w:val="nil"/>
            </w:tcBorders>
            <w:shd w:val="clear" w:color="4472C4" w:fill="4472C4"/>
            <w:hideMark/>
          </w:tcPr>
          <w:p w14:paraId="78F6B4B6" w14:textId="77777777" w:rsidR="00F25617" w:rsidRPr="00F25617" w:rsidRDefault="00F25617" w:rsidP="00F25617">
            <w:pPr>
              <w:spacing w:after="0" w:line="240" w:lineRule="auto"/>
              <w:jc w:val="center"/>
              <w:rPr>
                <w:rFonts w:eastAsia="Times New Roman"/>
                <w:b/>
                <w:bCs/>
                <w:color w:val="000000"/>
                <w:szCs w:val="24"/>
                <w:lang w:val="en-CA" w:eastAsia="en-CA"/>
              </w:rPr>
            </w:pPr>
            <w:r w:rsidRPr="00F25617">
              <w:rPr>
                <w:rFonts w:eastAsia="Times New Roman"/>
                <w:b/>
                <w:bCs/>
                <w:color w:val="000000"/>
                <w:szCs w:val="24"/>
                <w:lang w:val="en-CA" w:eastAsia="en-CA"/>
              </w:rPr>
              <w:t>Mayor</w:t>
            </w:r>
          </w:p>
        </w:tc>
        <w:tc>
          <w:tcPr>
            <w:tcW w:w="1417" w:type="dxa"/>
            <w:tcBorders>
              <w:top w:val="nil"/>
              <w:left w:val="single" w:sz="4" w:space="0" w:color="FFFFFF"/>
              <w:bottom w:val="nil"/>
              <w:right w:val="nil"/>
            </w:tcBorders>
            <w:shd w:val="clear" w:color="4472C4" w:fill="4472C4"/>
            <w:hideMark/>
          </w:tcPr>
          <w:p w14:paraId="2B7FA0BB" w14:textId="77777777" w:rsidR="00F25617" w:rsidRPr="00F25617" w:rsidRDefault="00F25617" w:rsidP="00F25617">
            <w:pPr>
              <w:spacing w:after="0" w:line="240" w:lineRule="auto"/>
              <w:jc w:val="center"/>
              <w:rPr>
                <w:rFonts w:eastAsia="Times New Roman"/>
                <w:b/>
                <w:bCs/>
                <w:color w:val="000000"/>
                <w:szCs w:val="24"/>
                <w:lang w:val="en-CA" w:eastAsia="en-CA"/>
              </w:rPr>
            </w:pPr>
            <w:r w:rsidRPr="00F25617">
              <w:rPr>
                <w:rFonts w:eastAsia="Times New Roman"/>
                <w:b/>
                <w:bCs/>
                <w:color w:val="000000"/>
                <w:szCs w:val="24"/>
                <w:lang w:val="en-CA" w:eastAsia="en-CA"/>
              </w:rPr>
              <w:t>Councillor</w:t>
            </w:r>
          </w:p>
        </w:tc>
      </w:tr>
      <w:tr w:rsidR="00F25617" w:rsidRPr="00F25617" w14:paraId="4CDC3E43" w14:textId="77777777" w:rsidTr="00F25617">
        <w:trPr>
          <w:trHeight w:val="320"/>
        </w:trPr>
        <w:tc>
          <w:tcPr>
            <w:tcW w:w="1875" w:type="dxa"/>
            <w:tcBorders>
              <w:top w:val="nil"/>
              <w:left w:val="nil"/>
              <w:bottom w:val="nil"/>
              <w:right w:val="nil"/>
            </w:tcBorders>
            <w:shd w:val="clear" w:color="B4C6E7" w:fill="B4C6E7"/>
            <w:noWrap/>
            <w:vAlign w:val="bottom"/>
            <w:hideMark/>
          </w:tcPr>
          <w:p w14:paraId="47CBBF1F" w14:textId="77777777" w:rsidR="00F25617" w:rsidRPr="00F25617" w:rsidRDefault="00F25617" w:rsidP="00F25617">
            <w:pPr>
              <w:spacing w:after="0" w:line="240" w:lineRule="auto"/>
              <w:rPr>
                <w:rFonts w:eastAsia="Times New Roman"/>
                <w:color w:val="000000"/>
                <w:szCs w:val="24"/>
                <w:lang w:val="en-CA" w:eastAsia="en-CA"/>
              </w:rPr>
            </w:pPr>
            <w:r w:rsidRPr="00F25617">
              <w:rPr>
                <w:rFonts w:eastAsia="Times New Roman"/>
                <w:color w:val="000000"/>
                <w:szCs w:val="24"/>
                <w:lang w:val="en-CA" w:eastAsia="en-CA"/>
              </w:rPr>
              <w:t>Sussex Corner</w:t>
            </w:r>
          </w:p>
        </w:tc>
        <w:tc>
          <w:tcPr>
            <w:tcW w:w="1424" w:type="dxa"/>
            <w:tcBorders>
              <w:top w:val="single" w:sz="12" w:space="0" w:color="FFFFFF"/>
              <w:left w:val="single" w:sz="4" w:space="0" w:color="FFFFFF"/>
              <w:bottom w:val="nil"/>
              <w:right w:val="nil"/>
            </w:tcBorders>
            <w:shd w:val="clear" w:color="B4C6E7" w:fill="B4C6E7"/>
            <w:noWrap/>
            <w:vAlign w:val="bottom"/>
            <w:hideMark/>
          </w:tcPr>
          <w:p w14:paraId="6E6FEF23" w14:textId="77777777" w:rsidR="00F25617" w:rsidRPr="00F25617" w:rsidRDefault="00F25617" w:rsidP="00F25617">
            <w:pPr>
              <w:spacing w:after="0" w:line="240" w:lineRule="auto"/>
              <w:jc w:val="right"/>
              <w:rPr>
                <w:rFonts w:eastAsia="Times New Roman"/>
                <w:color w:val="000000"/>
                <w:szCs w:val="24"/>
                <w:lang w:val="en-CA" w:eastAsia="en-CA"/>
              </w:rPr>
            </w:pPr>
            <w:r w:rsidRPr="00F25617">
              <w:rPr>
                <w:rFonts w:eastAsia="Times New Roman"/>
                <w:color w:val="000000"/>
                <w:szCs w:val="24"/>
                <w:lang w:val="en-CA" w:eastAsia="en-CA"/>
              </w:rPr>
              <w:t>N/A</w:t>
            </w:r>
          </w:p>
        </w:tc>
        <w:tc>
          <w:tcPr>
            <w:tcW w:w="1417" w:type="dxa"/>
            <w:tcBorders>
              <w:top w:val="single" w:sz="12" w:space="0" w:color="FFFFFF"/>
              <w:left w:val="single" w:sz="4" w:space="0" w:color="FFFFFF"/>
              <w:bottom w:val="nil"/>
              <w:right w:val="nil"/>
            </w:tcBorders>
            <w:shd w:val="clear" w:color="B4C6E7" w:fill="B4C6E7"/>
            <w:noWrap/>
            <w:vAlign w:val="bottom"/>
            <w:hideMark/>
          </w:tcPr>
          <w:p w14:paraId="5735FA9D" w14:textId="77777777" w:rsidR="00F25617" w:rsidRPr="00F25617" w:rsidRDefault="00F25617" w:rsidP="00F25617">
            <w:pPr>
              <w:spacing w:after="0" w:line="240" w:lineRule="auto"/>
              <w:jc w:val="right"/>
              <w:rPr>
                <w:rFonts w:eastAsia="Times New Roman"/>
                <w:color w:val="000000"/>
                <w:szCs w:val="24"/>
                <w:lang w:val="en-CA" w:eastAsia="en-CA"/>
              </w:rPr>
            </w:pPr>
            <w:r w:rsidRPr="00F25617">
              <w:rPr>
                <w:rFonts w:eastAsia="Times New Roman"/>
                <w:color w:val="000000"/>
                <w:szCs w:val="24"/>
                <w:lang w:val="en-CA" w:eastAsia="en-CA"/>
              </w:rPr>
              <w:t>N/A</w:t>
            </w:r>
          </w:p>
        </w:tc>
      </w:tr>
      <w:tr w:rsidR="00F25617" w:rsidRPr="00F25617" w14:paraId="3411D7A9" w14:textId="77777777" w:rsidTr="00F25617">
        <w:trPr>
          <w:trHeight w:val="310"/>
        </w:trPr>
        <w:tc>
          <w:tcPr>
            <w:tcW w:w="1875" w:type="dxa"/>
            <w:tcBorders>
              <w:top w:val="single" w:sz="4" w:space="0" w:color="FFFFFF"/>
              <w:left w:val="nil"/>
              <w:bottom w:val="nil"/>
              <w:right w:val="nil"/>
            </w:tcBorders>
            <w:shd w:val="clear" w:color="D9E1F2" w:fill="D9E1F2"/>
            <w:noWrap/>
            <w:vAlign w:val="bottom"/>
            <w:hideMark/>
          </w:tcPr>
          <w:p w14:paraId="384D7964" w14:textId="77777777" w:rsidR="00F25617" w:rsidRPr="00F25617" w:rsidRDefault="00F25617" w:rsidP="00F25617">
            <w:pPr>
              <w:spacing w:after="0" w:line="240" w:lineRule="auto"/>
              <w:rPr>
                <w:rFonts w:eastAsia="Times New Roman"/>
                <w:color w:val="000000"/>
                <w:szCs w:val="24"/>
                <w:lang w:val="en-CA" w:eastAsia="en-CA"/>
              </w:rPr>
            </w:pPr>
            <w:r w:rsidRPr="00F25617">
              <w:rPr>
                <w:rFonts w:eastAsia="Times New Roman"/>
                <w:color w:val="000000"/>
                <w:szCs w:val="24"/>
                <w:lang w:val="en-CA" w:eastAsia="en-CA"/>
              </w:rPr>
              <w:t>Sussex</w:t>
            </w:r>
          </w:p>
        </w:tc>
        <w:tc>
          <w:tcPr>
            <w:tcW w:w="1424" w:type="dxa"/>
            <w:tcBorders>
              <w:top w:val="single" w:sz="4" w:space="0" w:color="FFFFFF"/>
              <w:left w:val="single" w:sz="4" w:space="0" w:color="FFFFFF"/>
              <w:bottom w:val="nil"/>
              <w:right w:val="nil"/>
            </w:tcBorders>
            <w:shd w:val="clear" w:color="D9E1F2" w:fill="D9E1F2"/>
            <w:noWrap/>
            <w:vAlign w:val="bottom"/>
            <w:hideMark/>
          </w:tcPr>
          <w:p w14:paraId="0F36BE22" w14:textId="77777777" w:rsidR="00F25617" w:rsidRPr="00F25617" w:rsidRDefault="00F25617" w:rsidP="00F25617">
            <w:pPr>
              <w:spacing w:after="0" w:line="240" w:lineRule="auto"/>
              <w:jc w:val="right"/>
              <w:rPr>
                <w:rFonts w:eastAsia="Times New Roman"/>
                <w:color w:val="000000"/>
                <w:szCs w:val="24"/>
                <w:lang w:val="en-CA" w:eastAsia="en-CA"/>
              </w:rPr>
            </w:pPr>
            <w:r w:rsidRPr="00F25617">
              <w:rPr>
                <w:rFonts w:eastAsia="Times New Roman"/>
                <w:color w:val="000000"/>
                <w:szCs w:val="24"/>
                <w:lang w:val="en-CA" w:eastAsia="en-CA"/>
              </w:rPr>
              <w:t>Acclaimed</w:t>
            </w:r>
          </w:p>
        </w:tc>
        <w:tc>
          <w:tcPr>
            <w:tcW w:w="1417" w:type="dxa"/>
            <w:tcBorders>
              <w:top w:val="single" w:sz="4" w:space="0" w:color="FFFFFF"/>
              <w:left w:val="single" w:sz="4" w:space="0" w:color="FFFFFF"/>
              <w:bottom w:val="nil"/>
              <w:right w:val="nil"/>
            </w:tcBorders>
            <w:shd w:val="clear" w:color="D9E1F2" w:fill="D9E1F2"/>
            <w:noWrap/>
            <w:vAlign w:val="bottom"/>
            <w:hideMark/>
          </w:tcPr>
          <w:p w14:paraId="4228D8CC" w14:textId="77777777" w:rsidR="00F25617" w:rsidRPr="00F25617" w:rsidRDefault="00F25617" w:rsidP="00F25617">
            <w:pPr>
              <w:spacing w:after="0" w:line="240" w:lineRule="auto"/>
              <w:jc w:val="right"/>
              <w:rPr>
                <w:rFonts w:eastAsia="Times New Roman"/>
                <w:color w:val="000000"/>
                <w:szCs w:val="24"/>
                <w:lang w:val="en-CA" w:eastAsia="en-CA"/>
              </w:rPr>
            </w:pPr>
            <w:r w:rsidRPr="00F25617">
              <w:rPr>
                <w:rFonts w:eastAsia="Times New Roman"/>
                <w:color w:val="000000"/>
                <w:szCs w:val="24"/>
                <w:lang w:val="en-CA" w:eastAsia="en-CA"/>
              </w:rPr>
              <w:t>Contested</w:t>
            </w:r>
          </w:p>
        </w:tc>
      </w:tr>
      <w:tr w:rsidR="00F25617" w:rsidRPr="00F25617" w14:paraId="567C3491" w14:textId="77777777" w:rsidTr="00F25617">
        <w:trPr>
          <w:trHeight w:val="290"/>
        </w:trPr>
        <w:tc>
          <w:tcPr>
            <w:tcW w:w="1875" w:type="dxa"/>
            <w:tcBorders>
              <w:top w:val="nil"/>
              <w:left w:val="nil"/>
              <w:bottom w:val="nil"/>
              <w:right w:val="nil"/>
            </w:tcBorders>
            <w:shd w:val="clear" w:color="auto" w:fill="auto"/>
            <w:noWrap/>
            <w:vAlign w:val="bottom"/>
            <w:hideMark/>
          </w:tcPr>
          <w:p w14:paraId="2B8B4829" w14:textId="77777777" w:rsidR="00F25617" w:rsidRPr="00F25617" w:rsidRDefault="00F25617" w:rsidP="00F25617">
            <w:pPr>
              <w:spacing w:after="0" w:line="240" w:lineRule="auto"/>
              <w:rPr>
                <w:rFonts w:eastAsia="Times New Roman"/>
                <w:color w:val="000000"/>
                <w:sz w:val="20"/>
                <w:szCs w:val="20"/>
                <w:lang w:val="en-CA" w:eastAsia="en-CA"/>
              </w:rPr>
            </w:pPr>
            <w:r w:rsidRPr="00F25617">
              <w:rPr>
                <w:rFonts w:eastAsia="Times New Roman"/>
                <w:color w:val="000000"/>
                <w:sz w:val="20"/>
                <w:szCs w:val="20"/>
                <w:lang w:val="en-CA" w:eastAsia="en-CA"/>
              </w:rPr>
              <w:t>1. Elections NB</w:t>
            </w:r>
          </w:p>
        </w:tc>
        <w:tc>
          <w:tcPr>
            <w:tcW w:w="1424" w:type="dxa"/>
            <w:tcBorders>
              <w:top w:val="nil"/>
              <w:left w:val="nil"/>
              <w:bottom w:val="nil"/>
              <w:right w:val="nil"/>
            </w:tcBorders>
            <w:shd w:val="clear" w:color="auto" w:fill="auto"/>
            <w:noWrap/>
            <w:vAlign w:val="bottom"/>
            <w:hideMark/>
          </w:tcPr>
          <w:p w14:paraId="195C179A" w14:textId="77777777" w:rsidR="00F25617" w:rsidRPr="00F25617" w:rsidRDefault="00F25617" w:rsidP="00F25617">
            <w:pPr>
              <w:spacing w:after="0" w:line="240" w:lineRule="auto"/>
              <w:rPr>
                <w:rFonts w:eastAsia="Times New Roman"/>
                <w:color w:val="000000"/>
                <w:sz w:val="20"/>
                <w:szCs w:val="20"/>
                <w:lang w:val="en-CA" w:eastAsia="en-CA"/>
              </w:rPr>
            </w:pPr>
          </w:p>
        </w:tc>
        <w:tc>
          <w:tcPr>
            <w:tcW w:w="1417" w:type="dxa"/>
            <w:tcBorders>
              <w:top w:val="nil"/>
              <w:left w:val="nil"/>
              <w:bottom w:val="nil"/>
              <w:right w:val="nil"/>
            </w:tcBorders>
            <w:shd w:val="clear" w:color="auto" w:fill="auto"/>
            <w:noWrap/>
            <w:vAlign w:val="bottom"/>
            <w:hideMark/>
          </w:tcPr>
          <w:p w14:paraId="7D022617" w14:textId="77777777" w:rsidR="00F25617" w:rsidRPr="00F25617" w:rsidRDefault="00F25617" w:rsidP="00F25617">
            <w:pPr>
              <w:spacing w:after="0" w:line="240" w:lineRule="auto"/>
              <w:rPr>
                <w:rFonts w:eastAsia="Times New Roman"/>
                <w:sz w:val="20"/>
                <w:szCs w:val="20"/>
                <w:lang w:val="en-CA" w:eastAsia="en-CA"/>
              </w:rPr>
            </w:pPr>
          </w:p>
        </w:tc>
      </w:tr>
    </w:tbl>
    <w:p w14:paraId="4BEFABE4" w14:textId="180100F6" w:rsidR="007353DE"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Entity </w:t>
      </w:r>
      <w:r w:rsidR="00E12385">
        <w:rPr>
          <w:rFonts w:eastAsia="Times New Roman"/>
          <w:color w:val="000000" w:themeColor="text1"/>
          <w:szCs w:val="24"/>
        </w:rPr>
        <w:t>35</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However, the more immediate benefit for the proposed municipality is the expansion of the potential candidate pool. An example of such a strategy succeeding can be observed in the Village of Eel River Crossing. In 2014, </w:t>
      </w:r>
      <w:proofErr w:type="gramStart"/>
      <w:r>
        <w:rPr>
          <w:rFonts w:eastAsia="Times New Roman"/>
          <w:color w:val="000000" w:themeColor="text1"/>
          <w:szCs w:val="24"/>
        </w:rPr>
        <w:t>a number of</w:t>
      </w:r>
      <w:proofErr w:type="gramEnd"/>
      <w:r>
        <w:rPr>
          <w:rFonts w:eastAsia="Times New Roman"/>
          <w:color w:val="000000" w:themeColor="text1"/>
          <w:szCs w:val="24"/>
        </w:rPr>
        <w:t xml:space="preserve"> contiguous LSDs voted to join the nearby village, resulting in a 2015 election which was highly contested. </w:t>
      </w:r>
      <w:r w:rsidRPr="00226288">
        <w:rPr>
          <w:rFonts w:eastAsia="Times New Roman"/>
          <w:color w:val="000000" w:themeColor="text1"/>
          <w:szCs w:val="24"/>
        </w:rPr>
        <w:t>Eel River Crossing’s first election s</w:t>
      </w:r>
      <w:r>
        <w:rPr>
          <w:rFonts w:eastAsia="Times New Roman"/>
          <w:color w:val="000000" w:themeColor="text1"/>
          <w:szCs w:val="24"/>
        </w:rPr>
        <w:t xml:space="preserve">aw 8 </w:t>
      </w:r>
      <w:r w:rsidRPr="00226288">
        <w:rPr>
          <w:rFonts w:eastAsia="Times New Roman"/>
          <w:color w:val="000000" w:themeColor="text1"/>
          <w:szCs w:val="24"/>
        </w:rPr>
        <w:t xml:space="preserve">candidates compete for 4 at-large </w:t>
      </w:r>
      <w:proofErr w:type="spellStart"/>
      <w:r w:rsidRPr="00226288">
        <w:rPr>
          <w:rFonts w:eastAsia="Times New Roman"/>
          <w:color w:val="000000" w:themeColor="text1"/>
          <w:szCs w:val="24"/>
        </w:rPr>
        <w:t>councillor</w:t>
      </w:r>
      <w:proofErr w:type="spellEnd"/>
      <w:r w:rsidRPr="00226288">
        <w:rPr>
          <w:rFonts w:eastAsia="Times New Roman"/>
          <w:color w:val="000000" w:themeColor="text1"/>
          <w:szCs w:val="24"/>
        </w:rPr>
        <w:t xml:space="preserve"> positions. Of these </w:t>
      </w:r>
      <w:r>
        <w:rPr>
          <w:rFonts w:eastAsia="Times New Roman"/>
          <w:color w:val="000000" w:themeColor="text1"/>
          <w:szCs w:val="24"/>
        </w:rPr>
        <w:t>8</w:t>
      </w:r>
      <w:r w:rsidRPr="00226288">
        <w:rPr>
          <w:rFonts w:eastAsia="Times New Roman"/>
          <w:color w:val="000000" w:themeColor="text1"/>
          <w:szCs w:val="24"/>
        </w:rPr>
        <w:t xml:space="preserve"> candidates, 4 were from previously unincorporated areas.</w:t>
      </w:r>
      <w:r>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7626CC9E" w:rsidR="002D1F21" w:rsidRPr="00226288" w:rsidRDefault="00210E4A" w:rsidP="00900633">
      <w:pPr>
        <w:jc w:val="both"/>
      </w:pPr>
      <w:r>
        <w:t>Entity 35</w:t>
      </w:r>
      <w:r w:rsidR="002D1F21" w:rsidRPr="00226288">
        <w:t xml:space="preserve"> w</w:t>
      </w:r>
      <w:r w:rsidR="001A086F">
        <w:t xml:space="preserve">ould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1167D1ED" w14:textId="3130A7A7" w:rsidR="006B006B" w:rsidRPr="008B3407" w:rsidRDefault="00226288" w:rsidP="006B006B">
      <w:pPr>
        <w:jc w:val="both"/>
        <w:rPr>
          <w:rFonts w:eastAsia="Times New Roman"/>
          <w:color w:val="000000"/>
          <w:sz w:val="20"/>
          <w:szCs w:val="20"/>
          <w:lang w:val="en-CA" w:eastAsia="en-CA"/>
        </w:rPr>
      </w:pPr>
      <w:r w:rsidRPr="00226288">
        <w:t xml:space="preserve">Because its population is </w:t>
      </w:r>
      <w:r w:rsidR="00B358F0">
        <w:t>above</w:t>
      </w:r>
      <w:r w:rsidR="0035403A">
        <w:t xml:space="preserve"> </w:t>
      </w:r>
      <w:r w:rsidR="00B125F3">
        <w:t>1</w:t>
      </w:r>
      <w:r w:rsidR="00275F78">
        <w:t>0000</w:t>
      </w:r>
      <w:r w:rsidRPr="00226288">
        <w:t xml:space="preserve">, </w:t>
      </w:r>
      <w:r w:rsidR="00210E4A">
        <w:t>Entity 35</w:t>
      </w:r>
      <w:r w:rsidR="00B125F3">
        <w:t xml:space="preserve"> would qualify as a ‘Group </w:t>
      </w:r>
      <w:r w:rsidR="00B358F0">
        <w:t>B</w:t>
      </w:r>
      <w:r w:rsidR="003B2A08">
        <w:t>’</w:t>
      </w:r>
      <w:r w:rsidRPr="00226288">
        <w:t xml:space="preserve"> municipality</w:t>
      </w:r>
      <w:r w:rsidR="003011C3">
        <w:t xml:space="preserve">. </w:t>
      </w:r>
      <w:r w:rsidR="006B006B" w:rsidRPr="00B20F84">
        <w:rPr>
          <w:szCs w:val="24"/>
        </w:rPr>
        <w:t xml:space="preserve">As </w:t>
      </w:r>
      <w:r w:rsidR="006B006B">
        <w:rPr>
          <w:szCs w:val="24"/>
        </w:rPr>
        <w:t>Entity 35</w:t>
      </w:r>
      <w:r w:rsidR="006B006B" w:rsidRPr="00B20F84">
        <w:rPr>
          <w:szCs w:val="24"/>
        </w:rPr>
        <w:t xml:space="preserve">’s assessment base per capita would be greater than the group average, it would not be entitled to an annual equalization grant. </w:t>
      </w:r>
      <w:r w:rsidR="006B006B" w:rsidRPr="00B20F84">
        <w:rPr>
          <w:rFonts w:eastAsia="Times New Roman"/>
          <w:color w:val="000000"/>
          <w:szCs w:val="24"/>
          <w:lang w:val="en-CA" w:eastAsia="en-CA"/>
        </w:rPr>
        <w:t xml:space="preserve">Rather, equal opportunity among the 53 municipalities would be </w:t>
      </w:r>
      <w:r w:rsidR="006B006B" w:rsidRPr="005F5542">
        <w:rPr>
          <w:rFonts w:eastAsia="Times New Roman"/>
          <w:color w:val="000000"/>
          <w:szCs w:val="24"/>
          <w:lang w:val="en-CA" w:eastAsia="en-CA"/>
        </w:rPr>
        <w:t>guaranteed by its expanded tax warrant. With</w:t>
      </w:r>
      <w:r w:rsidR="006B006B" w:rsidRPr="005F5542">
        <w:rPr>
          <w:szCs w:val="24"/>
        </w:rPr>
        <w:t xml:space="preserve"> the tax room transfer from the provincial government to municipal governments included in the proposed new framework, Entity 35’s assessment base of </w:t>
      </w:r>
      <w:r w:rsidR="005F5542" w:rsidRPr="005F5542">
        <w:rPr>
          <w:rFonts w:eastAsia="Times New Roman"/>
          <w:color w:val="000000"/>
          <w:szCs w:val="24"/>
          <w:lang w:val="en-CA" w:eastAsia="en-CA"/>
        </w:rPr>
        <w:t xml:space="preserve">$1,257,923,800 </w:t>
      </w:r>
      <w:r w:rsidR="006B006B" w:rsidRPr="005F5542">
        <w:rPr>
          <w:szCs w:val="24"/>
        </w:rPr>
        <w:t>would</w:t>
      </w:r>
      <w:r w:rsidR="006B006B" w:rsidRPr="006B006B">
        <w:rPr>
          <w:szCs w:val="24"/>
        </w:rPr>
        <w:t xml:space="preserve"> be able to yield more revenue than it could under the current local governance regime. Equal Opportunity</w:t>
      </w:r>
      <w:r w:rsidR="006B006B" w:rsidRPr="004E399E">
        <w:rPr>
          <w:szCs w:val="24"/>
        </w:rPr>
        <w:t xml:space="preserve"> among municipalities remains a priority in the new framework, but the primary guarantor of said equality is now tax warrants rather than equalization</w:t>
      </w:r>
      <w:r w:rsidR="006B006B">
        <w:t xml:space="preserve"> payments.</w:t>
      </w:r>
    </w:p>
    <w:p w14:paraId="61B53BEF" w14:textId="56ED38E1" w:rsidR="00226288" w:rsidRPr="00226288" w:rsidRDefault="00226288" w:rsidP="00900633">
      <w:pPr>
        <w:jc w:val="both"/>
      </w:pPr>
      <w:r w:rsidRPr="009A766E">
        <w:rPr>
          <w:szCs w:val="24"/>
        </w:rPr>
        <w:lastRenderedPageBreak/>
        <w:t>Of course, this</w:t>
      </w:r>
      <w:r w:rsidRPr="00226288">
        <w:t xml:space="preserve"> tax room transfer does not necessitate that property tax rates will increase by $1.50 per $100 of valuation across </w:t>
      </w:r>
      <w:r w:rsidR="00210E4A">
        <w:t>Entity 35</w:t>
      </w:r>
      <w:r w:rsidRPr="00226288">
        <w:t xml:space="preserve">, nor does it indicate that the entire municipality will operate with one uniform property tax rate. </w:t>
      </w:r>
      <w:r w:rsidRPr="00226288">
        <w:rPr>
          <w:rFonts w:eastAsia="Times New Roman"/>
          <w:szCs w:val="24"/>
        </w:rPr>
        <w:t xml:space="preserve">Because </w:t>
      </w:r>
      <w:r w:rsidR="00210E4A">
        <w:rPr>
          <w:rFonts w:eastAsia="Times New Roman"/>
          <w:szCs w:val="24"/>
        </w:rPr>
        <w:t>Entity 35</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75945449"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210E4A">
        <w:t>Entity 35</w:t>
      </w:r>
      <w:r w:rsidR="003011C3">
        <w:t xml:space="preserve"> could easily implement a </w:t>
      </w:r>
      <w:proofErr w:type="gramStart"/>
      <w:r w:rsidR="003011C3">
        <w:t>two tiered</w:t>
      </w:r>
      <w:proofErr w:type="gramEnd"/>
      <w:r w:rsidR="003011C3">
        <w:t xml:space="preserve"> property tax regime similar to Fredericton and Dieppe where those inside the urban area and those outside are charged substantially different rates.  </w:t>
      </w:r>
    </w:p>
    <w:p w14:paraId="42654CD4" w14:textId="30911339" w:rsidR="00226288" w:rsidRPr="00226288" w:rsidRDefault="00226288" w:rsidP="00900633">
      <w:pPr>
        <w:jc w:val="both"/>
      </w:pPr>
      <w:r w:rsidRPr="00226288">
        <w:t xml:space="preserve">Overall, then, </w:t>
      </w:r>
      <w:r w:rsidR="00210E4A">
        <w:t>Entity 35</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3936984A" w14:textId="65C625E4" w:rsidR="00226288" w:rsidRPr="00226288" w:rsidRDefault="00226288" w:rsidP="0090063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210E4A">
        <w:rPr>
          <w:rFonts w:eastAsia="Times New Roman"/>
          <w:szCs w:val="24"/>
        </w:rPr>
        <w:t>Entity 35</w:t>
      </w:r>
      <w:r w:rsidRPr="00226288">
        <w:rPr>
          <w:rFonts w:eastAsia="Times New Roman"/>
          <w:szCs w:val="24"/>
        </w:rPr>
        <w:t xml:space="preserve">, and the tax rates of the entity would reflect this level of service. </w:t>
      </w:r>
    </w:p>
    <w:p w14:paraId="7E7D20ED" w14:textId="4C066DEB" w:rsidR="00226288" w:rsidRPr="00226288" w:rsidRDefault="00900633" w:rsidP="00900633">
      <w:pPr>
        <w:jc w:val="both"/>
        <w:rPr>
          <w:rFonts w:eastAsia="Times New Roman"/>
          <w:szCs w:val="24"/>
        </w:rPr>
      </w:pPr>
      <w:r>
        <w:rPr>
          <w:noProof/>
          <w:szCs w:val="24"/>
        </w:rPr>
        <w:drawing>
          <wp:anchor distT="0" distB="0" distL="114300" distR="114300" simplePos="0" relativeHeight="251661312" behindDoc="0" locked="0" layoutInCell="1" allowOverlap="1" wp14:anchorId="3EFE97F1" wp14:editId="5E10E8D3">
            <wp:simplePos x="0" y="0"/>
            <wp:positionH relativeFrom="column">
              <wp:posOffset>2857500</wp:posOffset>
            </wp:positionH>
            <wp:positionV relativeFrom="paragraph">
              <wp:posOffset>77470</wp:posOffset>
            </wp:positionV>
            <wp:extent cx="3079750" cy="2523490"/>
            <wp:effectExtent l="0" t="0" r="6350" b="0"/>
            <wp:wrapThrough wrapText="bothSides">
              <wp:wrapPolygon edited="0">
                <wp:start x="0" y="0"/>
                <wp:lineTo x="0" y="21361"/>
                <wp:lineTo x="21511" y="21361"/>
                <wp:lineTo x="215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79750" cy="252349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3328CCA4" w:rsidR="00226288" w:rsidRPr="00226288" w:rsidRDefault="00210E4A" w:rsidP="00900633">
      <w:pPr>
        <w:jc w:val="both"/>
        <w:rPr>
          <w:rFonts w:eastAsia="Times New Roman"/>
          <w:szCs w:val="24"/>
        </w:rPr>
      </w:pPr>
      <w:r>
        <w:rPr>
          <w:rFonts w:eastAsia="Times New Roman"/>
          <w:szCs w:val="24"/>
        </w:rPr>
        <w:t>Entity 35</w:t>
      </w:r>
      <w:r w:rsidR="00226288" w:rsidRPr="00226288">
        <w:rPr>
          <w:rFonts w:eastAsia="Times New Roman"/>
          <w:szCs w:val="24"/>
        </w:rPr>
        <w:t xml:space="preserve"> would belong to </w:t>
      </w:r>
      <w:r w:rsidR="00706AE4">
        <w:rPr>
          <w:rFonts w:eastAsia="Times New Roman"/>
          <w:szCs w:val="24"/>
        </w:rPr>
        <w:t xml:space="preserve">RSD </w:t>
      </w:r>
      <w:r w:rsidR="001662BC">
        <w:rPr>
          <w:rFonts w:eastAsia="Times New Roman"/>
          <w:szCs w:val="24"/>
        </w:rPr>
        <w:t>8</w:t>
      </w:r>
      <w:r w:rsidR="00226288" w:rsidRPr="00226288">
        <w:rPr>
          <w:rFonts w:eastAsia="Times New Roman"/>
          <w:szCs w:val="24"/>
        </w:rPr>
        <w:t xml:space="preserve"> along with </w:t>
      </w:r>
      <w:bookmarkStart w:id="0" w:name="_Hlk40085397"/>
      <w:r w:rsidR="00337DB1">
        <w:rPr>
          <w:rFonts w:eastAsia="Times New Roman"/>
          <w:szCs w:val="24"/>
        </w:rPr>
        <w:t>Entity 36</w:t>
      </w:r>
      <w:r w:rsidR="00226288" w:rsidRPr="00226288">
        <w:rPr>
          <w:rFonts w:eastAsia="Times New Roman"/>
          <w:szCs w:val="24"/>
        </w:rPr>
        <w:t>. As with each municipal entity</w:t>
      </w:r>
      <w:bookmarkEnd w:id="0"/>
      <w:r w:rsidR="00226288" w:rsidRPr="00226288">
        <w:rPr>
          <w:rFonts w:eastAsia="Times New Roman"/>
          <w:szCs w:val="24"/>
        </w:rPr>
        <w:t xml:space="preserve">, </w:t>
      </w:r>
      <w:r w:rsidR="00226288" w:rsidRPr="00226288">
        <w:rPr>
          <w:rFonts w:eastAsia="Times New Roman"/>
          <w:szCs w:val="24"/>
        </w:rPr>
        <w:lastRenderedPageBreak/>
        <w:t xml:space="preserve">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26442FE0" w14:textId="54392B6A" w:rsidR="00B84A24" w:rsidRDefault="00226288" w:rsidP="00900633">
      <w:pPr>
        <w:jc w:val="both"/>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881CAD">
        <w:rPr>
          <w:rFonts w:eastAsia="Times New Roman"/>
          <w:szCs w:val="24"/>
        </w:rPr>
        <w:t xml:space="preserve">RSD </w:t>
      </w:r>
      <w:r w:rsidR="001662BC">
        <w:rPr>
          <w:rFonts w:eastAsia="Times New Roman"/>
          <w:szCs w:val="24"/>
        </w:rPr>
        <w:t>8</w:t>
      </w:r>
      <w:r w:rsidR="00881CAD">
        <w:rPr>
          <w:rFonts w:eastAsia="Times New Roman"/>
          <w:szCs w:val="24"/>
        </w:rPr>
        <w:t xml:space="preserve"> covers</w:t>
      </w:r>
      <w:r w:rsidR="00337DB1">
        <w:rPr>
          <w:rFonts w:eastAsia="Times New Roman"/>
          <w:szCs w:val="24"/>
        </w:rPr>
        <w:t xml:space="preserve"> portions of</w:t>
      </w:r>
      <w:r w:rsidR="00881CAD">
        <w:rPr>
          <w:rFonts w:eastAsia="Times New Roman"/>
          <w:szCs w:val="24"/>
        </w:rPr>
        <w:t xml:space="preserve"> both </w:t>
      </w:r>
      <w:r w:rsidR="00337DB1">
        <w:rPr>
          <w:rFonts w:eastAsia="Times New Roman"/>
          <w:szCs w:val="24"/>
        </w:rPr>
        <w:t>Kings and Queens</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p>
    <w:p w14:paraId="25B8BEA0" w14:textId="6FD77DAD" w:rsidR="00B374F1" w:rsidRPr="0037545A" w:rsidRDefault="00B84A24" w:rsidP="00900633">
      <w:pPr>
        <w:jc w:val="both"/>
        <w:rPr>
          <w:rFonts w:eastAsia="Times New Roman"/>
          <w:szCs w:val="24"/>
        </w:rPr>
      </w:pPr>
      <w:r>
        <w:rPr>
          <w:rFonts w:eastAsia="Times New Roman"/>
          <w:szCs w:val="24"/>
        </w:rPr>
        <w:t xml:space="preserve">In the case of Entity </w:t>
      </w:r>
      <w:r w:rsidR="00BC1C43">
        <w:rPr>
          <w:rFonts w:eastAsia="Times New Roman"/>
          <w:szCs w:val="24"/>
        </w:rPr>
        <w:t xml:space="preserve">35, all but the portions of Brunswick, </w:t>
      </w:r>
      <w:proofErr w:type="spellStart"/>
      <w:r w:rsidR="00BC1C43">
        <w:rPr>
          <w:rFonts w:eastAsia="Times New Roman"/>
          <w:szCs w:val="24"/>
        </w:rPr>
        <w:t>Waterborough</w:t>
      </w:r>
      <w:proofErr w:type="spellEnd"/>
      <w:r w:rsidR="00BC1C43">
        <w:rPr>
          <w:rFonts w:eastAsia="Times New Roman"/>
          <w:szCs w:val="24"/>
        </w:rPr>
        <w:t xml:space="preserve">, and Johnston LSDs are in Kings County. </w:t>
      </w:r>
      <w:r w:rsidR="00E07470">
        <w:rPr>
          <w:rFonts w:eastAsia="Times New Roman"/>
          <w:szCs w:val="24"/>
        </w:rPr>
        <w:t>In</w:t>
      </w:r>
      <w:r w:rsidR="00B374F1">
        <w:rPr>
          <w:rFonts w:eastAsia="Times New Roman"/>
          <w:szCs w:val="24"/>
        </w:rPr>
        <w:t xml:space="preserve"> </w:t>
      </w:r>
      <w:r w:rsidR="00D72C94">
        <w:rPr>
          <w:rFonts w:eastAsia="Times New Roman"/>
          <w:szCs w:val="24"/>
        </w:rPr>
        <w:t xml:space="preserve">all but these three local governance entities, </w:t>
      </w:r>
      <w:r w:rsidR="00DE75B3">
        <w:rPr>
          <w:rFonts w:eastAsia="Times New Roman"/>
          <w:szCs w:val="24"/>
        </w:rPr>
        <w:t xml:space="preserve">50% of commuters leave their respective communities each day and commute elsewhere </w:t>
      </w:r>
      <w:r w:rsidR="00DE75B3">
        <w:rPr>
          <w:rFonts w:eastAsia="Times New Roman"/>
          <w:i/>
          <w:iCs/>
          <w:szCs w:val="24"/>
        </w:rPr>
        <w:t>within</w:t>
      </w:r>
      <w:r w:rsidR="00DE75B3">
        <w:rPr>
          <w:rFonts w:eastAsia="Times New Roman"/>
          <w:szCs w:val="24"/>
        </w:rPr>
        <w:t xml:space="preserve"> their </w:t>
      </w:r>
      <w:proofErr w:type="spellStart"/>
      <w:r w:rsidR="00DE75B3">
        <w:rPr>
          <w:rFonts w:eastAsia="Times New Roman"/>
          <w:szCs w:val="24"/>
        </w:rPr>
        <w:t>county</w:t>
      </w:r>
      <w:proofErr w:type="spellEnd"/>
      <w:r w:rsidR="00DE75B3">
        <w:rPr>
          <w:rFonts w:eastAsia="Times New Roman"/>
          <w:szCs w:val="24"/>
        </w:rPr>
        <w:t xml:space="preserve"> of origin. </w:t>
      </w:r>
      <w:r w:rsidR="00E07470">
        <w:rPr>
          <w:rFonts w:eastAsia="Times New Roman"/>
          <w:szCs w:val="24"/>
        </w:rPr>
        <w:t>Accordingly, in the remaining three local governance entities</w:t>
      </w:r>
      <w:r w:rsidR="0037545A">
        <w:rPr>
          <w:rFonts w:eastAsia="Times New Roman"/>
          <w:szCs w:val="24"/>
        </w:rPr>
        <w:t xml:space="preserve"> 50% of commuters travel </w:t>
      </w:r>
      <w:r w:rsidR="0037545A">
        <w:rPr>
          <w:rFonts w:eastAsia="Times New Roman"/>
          <w:i/>
          <w:iCs/>
          <w:szCs w:val="24"/>
        </w:rPr>
        <w:t xml:space="preserve">out </w:t>
      </w:r>
      <w:r w:rsidR="0037545A">
        <w:rPr>
          <w:rFonts w:eastAsia="Times New Roman"/>
          <w:szCs w:val="24"/>
        </w:rPr>
        <w:t xml:space="preserve">of Queens county, indicating that while these populations are technically divided by county lines, the economies of these populations are </w:t>
      </w:r>
      <w:r w:rsidR="00D0585F">
        <w:rPr>
          <w:rFonts w:eastAsia="Times New Roman"/>
          <w:szCs w:val="24"/>
        </w:rPr>
        <w:t xml:space="preserve">deeply </w:t>
      </w:r>
      <w:r w:rsidR="00F01C98">
        <w:rPr>
          <w:rFonts w:eastAsia="Times New Roman"/>
          <w:szCs w:val="24"/>
        </w:rPr>
        <w:t xml:space="preserve">intertwined. </w:t>
      </w:r>
    </w:p>
    <w:p w14:paraId="7BEFB9DD" w14:textId="1314F2F1" w:rsidR="00226288" w:rsidRPr="00226288" w:rsidRDefault="0055074D" w:rsidP="00900633">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C0925F5" w14:textId="12D673DD" w:rsidR="47626E9A" w:rsidRPr="006B006B" w:rsidRDefault="00226288" w:rsidP="00E16335">
      <w:pPr>
        <w:rPr>
          <w:rFonts w:eastAsia="Times New Roman"/>
          <w:szCs w:val="24"/>
        </w:rPr>
      </w:pPr>
      <w:r w:rsidRPr="00226288">
        <w:rPr>
          <w:rFonts w:eastAsia="Times New Roman"/>
          <w:szCs w:val="24"/>
        </w:rPr>
        <w:t xml:space="preserve">Overall, </w:t>
      </w:r>
      <w:r w:rsidR="00210E4A">
        <w:rPr>
          <w:rFonts w:eastAsia="Times New Roman"/>
          <w:szCs w:val="24"/>
        </w:rPr>
        <w:t>Entity 35</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sectPr w:rsidR="47626E9A" w:rsidRPr="006B006B">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67747" w14:textId="77777777" w:rsidR="006A0578" w:rsidRDefault="006A0578" w:rsidP="00533253">
      <w:pPr>
        <w:spacing w:after="0" w:line="240" w:lineRule="auto"/>
      </w:pPr>
      <w:r>
        <w:separator/>
      </w:r>
    </w:p>
  </w:endnote>
  <w:endnote w:type="continuationSeparator" w:id="0">
    <w:p w14:paraId="1CAE9227" w14:textId="77777777" w:rsidR="006A0578" w:rsidRDefault="006A0578" w:rsidP="00533253">
      <w:pPr>
        <w:spacing w:after="0" w:line="240" w:lineRule="auto"/>
      </w:pPr>
      <w:r>
        <w:continuationSeparator/>
      </w:r>
    </w:p>
  </w:endnote>
  <w:endnote w:type="continuationNotice" w:id="1">
    <w:p w14:paraId="05EBB1CA" w14:textId="77777777" w:rsidR="006A0578" w:rsidRDefault="006A05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ACF0B" w14:textId="77777777" w:rsidR="006A0578" w:rsidRDefault="006A0578" w:rsidP="00533253">
      <w:pPr>
        <w:spacing w:after="0" w:line="240" w:lineRule="auto"/>
      </w:pPr>
      <w:r>
        <w:separator/>
      </w:r>
    </w:p>
  </w:footnote>
  <w:footnote w:type="continuationSeparator" w:id="0">
    <w:p w14:paraId="78D08A0F" w14:textId="77777777" w:rsidR="006A0578" w:rsidRDefault="006A0578" w:rsidP="00533253">
      <w:pPr>
        <w:spacing w:after="0" w:line="240" w:lineRule="auto"/>
      </w:pPr>
      <w:r>
        <w:continuationSeparator/>
      </w:r>
    </w:p>
  </w:footnote>
  <w:footnote w:type="continuationNotice" w:id="1">
    <w:p w14:paraId="7A323ACA" w14:textId="77777777" w:rsidR="006A0578" w:rsidRDefault="006A0578">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1B5D"/>
    <w:rsid w:val="00062C5C"/>
    <w:rsid w:val="00063FB6"/>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57D7"/>
    <w:rsid w:val="0013603A"/>
    <w:rsid w:val="00136F8C"/>
    <w:rsid w:val="00143193"/>
    <w:rsid w:val="001434FE"/>
    <w:rsid w:val="00144572"/>
    <w:rsid w:val="00147376"/>
    <w:rsid w:val="0015194D"/>
    <w:rsid w:val="00156AEF"/>
    <w:rsid w:val="00157164"/>
    <w:rsid w:val="001577D4"/>
    <w:rsid w:val="001618D5"/>
    <w:rsid w:val="00162133"/>
    <w:rsid w:val="00163993"/>
    <w:rsid w:val="001640B8"/>
    <w:rsid w:val="001662BC"/>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4616"/>
    <w:rsid w:val="001A4A6F"/>
    <w:rsid w:val="001A5EB0"/>
    <w:rsid w:val="001B0CCA"/>
    <w:rsid w:val="001B0FF6"/>
    <w:rsid w:val="001B197B"/>
    <w:rsid w:val="001B2623"/>
    <w:rsid w:val="001B479C"/>
    <w:rsid w:val="001B4F0F"/>
    <w:rsid w:val="001B4F70"/>
    <w:rsid w:val="001C2040"/>
    <w:rsid w:val="001C359A"/>
    <w:rsid w:val="001C38B6"/>
    <w:rsid w:val="001D00C9"/>
    <w:rsid w:val="001D2F8A"/>
    <w:rsid w:val="001D5074"/>
    <w:rsid w:val="001D6C80"/>
    <w:rsid w:val="001E7839"/>
    <w:rsid w:val="001F1365"/>
    <w:rsid w:val="001F1E7F"/>
    <w:rsid w:val="001F29E6"/>
    <w:rsid w:val="001F35C3"/>
    <w:rsid w:val="001F4CD6"/>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BEA"/>
    <w:rsid w:val="002D1F21"/>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547E"/>
    <w:rsid w:val="00326D5B"/>
    <w:rsid w:val="00331342"/>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5444"/>
    <w:rsid w:val="00365826"/>
    <w:rsid w:val="00365E92"/>
    <w:rsid w:val="0036789A"/>
    <w:rsid w:val="003707D4"/>
    <w:rsid w:val="0037091E"/>
    <w:rsid w:val="00375326"/>
    <w:rsid w:val="003753C3"/>
    <w:rsid w:val="0037545A"/>
    <w:rsid w:val="0037703C"/>
    <w:rsid w:val="00377EAB"/>
    <w:rsid w:val="00380BF5"/>
    <w:rsid w:val="00383314"/>
    <w:rsid w:val="0038365B"/>
    <w:rsid w:val="00385AF5"/>
    <w:rsid w:val="00386C93"/>
    <w:rsid w:val="00397398"/>
    <w:rsid w:val="003975CE"/>
    <w:rsid w:val="003A20BA"/>
    <w:rsid w:val="003A22CB"/>
    <w:rsid w:val="003A2E7D"/>
    <w:rsid w:val="003A431A"/>
    <w:rsid w:val="003A4C02"/>
    <w:rsid w:val="003B03C3"/>
    <w:rsid w:val="003B108F"/>
    <w:rsid w:val="003B18DC"/>
    <w:rsid w:val="003B1FCD"/>
    <w:rsid w:val="003B2A08"/>
    <w:rsid w:val="003B3F3D"/>
    <w:rsid w:val="003B448F"/>
    <w:rsid w:val="003C2229"/>
    <w:rsid w:val="003C2DA4"/>
    <w:rsid w:val="003C3DFA"/>
    <w:rsid w:val="003C47BF"/>
    <w:rsid w:val="003D3F4B"/>
    <w:rsid w:val="003D69F7"/>
    <w:rsid w:val="003D7071"/>
    <w:rsid w:val="003D7C66"/>
    <w:rsid w:val="003E1657"/>
    <w:rsid w:val="003E31DA"/>
    <w:rsid w:val="003E381F"/>
    <w:rsid w:val="003E41B8"/>
    <w:rsid w:val="003E4987"/>
    <w:rsid w:val="003E682B"/>
    <w:rsid w:val="003F2CF4"/>
    <w:rsid w:val="003F6376"/>
    <w:rsid w:val="003F78B1"/>
    <w:rsid w:val="003F7C1D"/>
    <w:rsid w:val="0040016D"/>
    <w:rsid w:val="00400690"/>
    <w:rsid w:val="00400E1B"/>
    <w:rsid w:val="00406AA9"/>
    <w:rsid w:val="0040747F"/>
    <w:rsid w:val="004101BE"/>
    <w:rsid w:val="0041088B"/>
    <w:rsid w:val="00410A7C"/>
    <w:rsid w:val="00413C87"/>
    <w:rsid w:val="0041579F"/>
    <w:rsid w:val="0041686C"/>
    <w:rsid w:val="00416A76"/>
    <w:rsid w:val="00417517"/>
    <w:rsid w:val="00417737"/>
    <w:rsid w:val="00417F02"/>
    <w:rsid w:val="004201D9"/>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1769"/>
    <w:rsid w:val="004B2B8C"/>
    <w:rsid w:val="004B3483"/>
    <w:rsid w:val="004B4120"/>
    <w:rsid w:val="004B618F"/>
    <w:rsid w:val="004B6A9C"/>
    <w:rsid w:val="004B75B8"/>
    <w:rsid w:val="004C2705"/>
    <w:rsid w:val="004C2B8E"/>
    <w:rsid w:val="004C36B5"/>
    <w:rsid w:val="004C50F2"/>
    <w:rsid w:val="004C7794"/>
    <w:rsid w:val="004D1279"/>
    <w:rsid w:val="004D2B15"/>
    <w:rsid w:val="004D2B1B"/>
    <w:rsid w:val="004D2BA6"/>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7378"/>
    <w:rsid w:val="005015A8"/>
    <w:rsid w:val="00503949"/>
    <w:rsid w:val="00503E48"/>
    <w:rsid w:val="00504D5B"/>
    <w:rsid w:val="005059B1"/>
    <w:rsid w:val="00510189"/>
    <w:rsid w:val="005219AD"/>
    <w:rsid w:val="00521FC4"/>
    <w:rsid w:val="00523200"/>
    <w:rsid w:val="005238F9"/>
    <w:rsid w:val="00523BD5"/>
    <w:rsid w:val="005262CC"/>
    <w:rsid w:val="0052684C"/>
    <w:rsid w:val="00526874"/>
    <w:rsid w:val="00527613"/>
    <w:rsid w:val="00532617"/>
    <w:rsid w:val="00533253"/>
    <w:rsid w:val="005335FD"/>
    <w:rsid w:val="005336CE"/>
    <w:rsid w:val="00536AD2"/>
    <w:rsid w:val="00540499"/>
    <w:rsid w:val="00540C77"/>
    <w:rsid w:val="00542F95"/>
    <w:rsid w:val="00544386"/>
    <w:rsid w:val="00544F68"/>
    <w:rsid w:val="0055074D"/>
    <w:rsid w:val="00552762"/>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5542"/>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C6E"/>
    <w:rsid w:val="00626347"/>
    <w:rsid w:val="00631D13"/>
    <w:rsid w:val="00635CB1"/>
    <w:rsid w:val="00637CA8"/>
    <w:rsid w:val="006406FC"/>
    <w:rsid w:val="00641FCF"/>
    <w:rsid w:val="006437C2"/>
    <w:rsid w:val="0064551D"/>
    <w:rsid w:val="00647E20"/>
    <w:rsid w:val="00652643"/>
    <w:rsid w:val="006551B6"/>
    <w:rsid w:val="00657EBA"/>
    <w:rsid w:val="00661053"/>
    <w:rsid w:val="006618B9"/>
    <w:rsid w:val="00661929"/>
    <w:rsid w:val="006635AB"/>
    <w:rsid w:val="00663713"/>
    <w:rsid w:val="006666D0"/>
    <w:rsid w:val="00670E6D"/>
    <w:rsid w:val="00671D38"/>
    <w:rsid w:val="006736F1"/>
    <w:rsid w:val="00673A59"/>
    <w:rsid w:val="00673CD5"/>
    <w:rsid w:val="0067446E"/>
    <w:rsid w:val="00674675"/>
    <w:rsid w:val="00675291"/>
    <w:rsid w:val="00677F07"/>
    <w:rsid w:val="00680EEB"/>
    <w:rsid w:val="00681B61"/>
    <w:rsid w:val="00681C2B"/>
    <w:rsid w:val="00681F3B"/>
    <w:rsid w:val="00693708"/>
    <w:rsid w:val="00693CD6"/>
    <w:rsid w:val="00693E2B"/>
    <w:rsid w:val="00695A46"/>
    <w:rsid w:val="00697AEA"/>
    <w:rsid w:val="006A0578"/>
    <w:rsid w:val="006A07E3"/>
    <w:rsid w:val="006A08DF"/>
    <w:rsid w:val="006A611D"/>
    <w:rsid w:val="006A73FD"/>
    <w:rsid w:val="006B006B"/>
    <w:rsid w:val="006B1AA3"/>
    <w:rsid w:val="006B1ED5"/>
    <w:rsid w:val="006C5C01"/>
    <w:rsid w:val="006C6FD9"/>
    <w:rsid w:val="006C719D"/>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540B3"/>
    <w:rsid w:val="0075617E"/>
    <w:rsid w:val="00756739"/>
    <w:rsid w:val="007612BE"/>
    <w:rsid w:val="0076188A"/>
    <w:rsid w:val="00761CCB"/>
    <w:rsid w:val="00762C21"/>
    <w:rsid w:val="00763C0B"/>
    <w:rsid w:val="00765957"/>
    <w:rsid w:val="0076607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6A57"/>
    <w:rsid w:val="00871BA6"/>
    <w:rsid w:val="00872051"/>
    <w:rsid w:val="00874E94"/>
    <w:rsid w:val="00876569"/>
    <w:rsid w:val="00877A83"/>
    <w:rsid w:val="008806C2"/>
    <w:rsid w:val="00880DC2"/>
    <w:rsid w:val="00881CAD"/>
    <w:rsid w:val="00886CC5"/>
    <w:rsid w:val="00890F6D"/>
    <w:rsid w:val="00892334"/>
    <w:rsid w:val="0089636A"/>
    <w:rsid w:val="008963E5"/>
    <w:rsid w:val="00897B6E"/>
    <w:rsid w:val="00897BED"/>
    <w:rsid w:val="008A1BD8"/>
    <w:rsid w:val="008A1EA6"/>
    <w:rsid w:val="008A3666"/>
    <w:rsid w:val="008A3772"/>
    <w:rsid w:val="008A7796"/>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4032D"/>
    <w:rsid w:val="009407F0"/>
    <w:rsid w:val="009424CD"/>
    <w:rsid w:val="00943184"/>
    <w:rsid w:val="00944409"/>
    <w:rsid w:val="0095089B"/>
    <w:rsid w:val="00951EA9"/>
    <w:rsid w:val="00952609"/>
    <w:rsid w:val="009534A1"/>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8762A"/>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C136B"/>
    <w:rsid w:val="009C3F94"/>
    <w:rsid w:val="009C400F"/>
    <w:rsid w:val="009C427E"/>
    <w:rsid w:val="009C4DFB"/>
    <w:rsid w:val="009C5A8A"/>
    <w:rsid w:val="009C610A"/>
    <w:rsid w:val="009C61E7"/>
    <w:rsid w:val="009C7EF9"/>
    <w:rsid w:val="009D16CF"/>
    <w:rsid w:val="009D2954"/>
    <w:rsid w:val="009D3A46"/>
    <w:rsid w:val="009D3B76"/>
    <w:rsid w:val="009D4657"/>
    <w:rsid w:val="009D6697"/>
    <w:rsid w:val="009D7896"/>
    <w:rsid w:val="009E008A"/>
    <w:rsid w:val="009E0814"/>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5579"/>
    <w:rsid w:val="00A47131"/>
    <w:rsid w:val="00A47308"/>
    <w:rsid w:val="00A47EA2"/>
    <w:rsid w:val="00A5350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8461E"/>
    <w:rsid w:val="00A85CC6"/>
    <w:rsid w:val="00A90CFD"/>
    <w:rsid w:val="00A910B8"/>
    <w:rsid w:val="00A921C7"/>
    <w:rsid w:val="00A92519"/>
    <w:rsid w:val="00A93031"/>
    <w:rsid w:val="00AA1DDD"/>
    <w:rsid w:val="00AA2F30"/>
    <w:rsid w:val="00AA5A47"/>
    <w:rsid w:val="00AA710E"/>
    <w:rsid w:val="00AB0E52"/>
    <w:rsid w:val="00AB3720"/>
    <w:rsid w:val="00AB56BE"/>
    <w:rsid w:val="00AB64B7"/>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CEA"/>
    <w:rsid w:val="00AF2389"/>
    <w:rsid w:val="00AF35D4"/>
    <w:rsid w:val="00AF3C9F"/>
    <w:rsid w:val="00AF4058"/>
    <w:rsid w:val="00AF6180"/>
    <w:rsid w:val="00B0029A"/>
    <w:rsid w:val="00B00DE4"/>
    <w:rsid w:val="00B043E8"/>
    <w:rsid w:val="00B04902"/>
    <w:rsid w:val="00B04E40"/>
    <w:rsid w:val="00B04E8A"/>
    <w:rsid w:val="00B06644"/>
    <w:rsid w:val="00B125F3"/>
    <w:rsid w:val="00B12D99"/>
    <w:rsid w:val="00B13F0C"/>
    <w:rsid w:val="00B1639B"/>
    <w:rsid w:val="00B22085"/>
    <w:rsid w:val="00B2583B"/>
    <w:rsid w:val="00B26EE0"/>
    <w:rsid w:val="00B27530"/>
    <w:rsid w:val="00B27F26"/>
    <w:rsid w:val="00B34A7B"/>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7FE0"/>
    <w:rsid w:val="00B61A5B"/>
    <w:rsid w:val="00B6278E"/>
    <w:rsid w:val="00B72F6F"/>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319A"/>
    <w:rsid w:val="00BD6ED4"/>
    <w:rsid w:val="00BE1438"/>
    <w:rsid w:val="00BE3A68"/>
    <w:rsid w:val="00BE3C41"/>
    <w:rsid w:val="00BE42B4"/>
    <w:rsid w:val="00BE43FB"/>
    <w:rsid w:val="00BE4F8D"/>
    <w:rsid w:val="00BE604A"/>
    <w:rsid w:val="00BF055E"/>
    <w:rsid w:val="00BF1884"/>
    <w:rsid w:val="00BF687D"/>
    <w:rsid w:val="00BF7E3F"/>
    <w:rsid w:val="00C06DB3"/>
    <w:rsid w:val="00C0741B"/>
    <w:rsid w:val="00C11068"/>
    <w:rsid w:val="00C12870"/>
    <w:rsid w:val="00C132BD"/>
    <w:rsid w:val="00C1414C"/>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2AD1"/>
    <w:rsid w:val="00C52D0C"/>
    <w:rsid w:val="00C5322C"/>
    <w:rsid w:val="00C63002"/>
    <w:rsid w:val="00C6435D"/>
    <w:rsid w:val="00C65D8B"/>
    <w:rsid w:val="00C660A3"/>
    <w:rsid w:val="00C66FB1"/>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42CD"/>
    <w:rsid w:val="00C947AC"/>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D005E"/>
    <w:rsid w:val="00CD12CE"/>
    <w:rsid w:val="00CD12F5"/>
    <w:rsid w:val="00CD14B9"/>
    <w:rsid w:val="00CD4433"/>
    <w:rsid w:val="00CD569B"/>
    <w:rsid w:val="00CD7718"/>
    <w:rsid w:val="00CD7AC1"/>
    <w:rsid w:val="00CE2F66"/>
    <w:rsid w:val="00CE4B07"/>
    <w:rsid w:val="00CE7A05"/>
    <w:rsid w:val="00CF02AF"/>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EED"/>
    <w:rsid w:val="00E1004A"/>
    <w:rsid w:val="00E112D9"/>
    <w:rsid w:val="00E12385"/>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DA0"/>
    <w:rsid w:val="00E71969"/>
    <w:rsid w:val="00E736B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FFB"/>
    <w:rsid w:val="00F33BB9"/>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31D7"/>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A56A5"/>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766195842">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26578829">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C44AB-96BF-4E51-B8FA-0FF77000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61</cp:revision>
  <dcterms:created xsi:type="dcterms:W3CDTF">2020-05-12T14:12:00Z</dcterms:created>
  <dcterms:modified xsi:type="dcterms:W3CDTF">2020-05-29T18:59:00Z</dcterms:modified>
</cp:coreProperties>
</file>