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9A13B" w14:textId="4E90297D" w:rsidR="00226288" w:rsidRPr="00226288" w:rsidRDefault="00226288" w:rsidP="00A9184B">
      <w:pPr>
        <w:spacing w:line="480" w:lineRule="auto"/>
        <w:contextualSpacing/>
      </w:pPr>
      <w:r w:rsidRPr="00226288">
        <w:t xml:space="preserve">An </w:t>
      </w:r>
      <w:r w:rsidR="00081AC4">
        <w:t>Image</w:t>
      </w:r>
      <w:r w:rsidRPr="00226288">
        <w:t xml:space="preserve"> of the Future – </w:t>
      </w:r>
      <w:r w:rsidR="00B8661E">
        <w:t>Entity 4</w:t>
      </w:r>
      <w:r w:rsidRPr="00226288">
        <w:t xml:space="preserve"> and Regional Service District </w:t>
      </w:r>
      <w:r w:rsidR="00081AC4">
        <w:t>1</w:t>
      </w:r>
    </w:p>
    <w:p w14:paraId="70CB123F" w14:textId="1CAFFA80" w:rsidR="00226288" w:rsidRPr="00226288" w:rsidRDefault="00226288" w:rsidP="000A66D1">
      <w:pPr>
        <w:jc w:val="both"/>
        <w:rPr>
          <w:rFonts w:eastAsia="Times New Roman"/>
        </w:rPr>
      </w:pPr>
      <w:r w:rsidRPr="00226288">
        <w:rPr>
          <w:rFonts w:eastAsia="Times New Roman"/>
        </w:rPr>
        <w:t xml:space="preserve">To illustrate the benefits of this new framework, take the example of </w:t>
      </w:r>
      <w:r w:rsidR="00B8661E">
        <w:rPr>
          <w:rFonts w:eastAsia="Times New Roman"/>
        </w:rPr>
        <w:t>Entity 4</w:t>
      </w:r>
      <w:r w:rsidR="006736F1">
        <w:rPr>
          <w:rFonts w:eastAsia="Times New Roman"/>
        </w:rPr>
        <w:t>.</w:t>
      </w:r>
      <w:r w:rsidRPr="00226288">
        <w:rPr>
          <w:rFonts w:eastAsia="Times New Roman"/>
        </w:rPr>
        <w:t xml:space="preserve"> For the duration of this discussion the municipality shall be referred to as </w:t>
      </w:r>
      <w:r w:rsidR="00B8661E">
        <w:rPr>
          <w:rFonts w:eastAsia="Times New Roman"/>
        </w:rPr>
        <w:t>Entity 4</w:t>
      </w:r>
      <w:r w:rsidRPr="00226288">
        <w:rPr>
          <w:rFonts w:eastAsia="Times New Roman"/>
        </w:rPr>
        <w:t xml:space="preserve">, as while the municipality could conceivably adopt </w:t>
      </w:r>
      <w:r w:rsidR="00B8661E">
        <w:rPr>
          <w:rFonts w:eastAsia="Times New Roman"/>
        </w:rPr>
        <w:t>Grand Falls</w:t>
      </w:r>
      <w:r w:rsidR="00EC452B">
        <w:rPr>
          <w:rFonts w:eastAsia="Times New Roman"/>
        </w:rPr>
        <w:t xml:space="preserve"> or any other name</w:t>
      </w:r>
      <w:r w:rsidRPr="00226288">
        <w:rPr>
          <w:rFonts w:eastAsia="Times New Roman"/>
        </w:rPr>
        <w:t xml:space="preserve">, the naming of the 53 municipal entities remains a task for the citizens of each </w:t>
      </w:r>
      <w:r w:rsidR="00EC452B">
        <w:rPr>
          <w:rFonts w:eastAsia="Times New Roman"/>
        </w:rPr>
        <w:t xml:space="preserve">proposed </w:t>
      </w:r>
      <w:r w:rsidRPr="00226288">
        <w:rPr>
          <w:rFonts w:eastAsia="Times New Roman"/>
        </w:rPr>
        <w:t>entity.</w:t>
      </w:r>
      <w:r w:rsidRPr="00226288">
        <w:rPr>
          <w:rFonts w:eastAsia="Times New Roman"/>
          <w:vertAlign w:val="superscript"/>
        </w:rPr>
        <w:footnoteReference w:id="1"/>
      </w:r>
      <w:r w:rsidRPr="00226288">
        <w:rPr>
          <w:rFonts w:eastAsia="Times New Roman"/>
        </w:rPr>
        <w:t xml:space="preserve"> Leaving the name of each entity undetermined is an important measure for the development of sustainable new municipal identities to compliment those of the existing towns, villages, and LSDs.</w:t>
      </w:r>
    </w:p>
    <w:p w14:paraId="2FE0DCBA" w14:textId="10F86214" w:rsidR="00226288" w:rsidRPr="00226288" w:rsidRDefault="00BC359A" w:rsidP="00226288">
      <w:pPr>
        <w:rPr>
          <w:b/>
          <w:bCs/>
        </w:rPr>
      </w:pPr>
      <w:r>
        <w:rPr>
          <w:rFonts w:eastAsia="Times New Roman"/>
          <w:noProof/>
          <w:lang w:val="en-CA" w:eastAsia="en-CA"/>
        </w:rPr>
        <w:drawing>
          <wp:anchor distT="0" distB="0" distL="114300" distR="114300" simplePos="0" relativeHeight="251660800" behindDoc="0" locked="0" layoutInCell="1" allowOverlap="1" wp14:anchorId="04D94468" wp14:editId="2DF41234">
            <wp:simplePos x="0" y="0"/>
            <wp:positionH relativeFrom="margin">
              <wp:posOffset>4005148</wp:posOffset>
            </wp:positionH>
            <wp:positionV relativeFrom="paragraph">
              <wp:posOffset>100178</wp:posOffset>
            </wp:positionV>
            <wp:extent cx="1938020" cy="3313430"/>
            <wp:effectExtent l="0" t="0" r="5080" b="1270"/>
            <wp:wrapThrough wrapText="bothSides">
              <wp:wrapPolygon edited="0">
                <wp:start x="849" y="0"/>
                <wp:lineTo x="0" y="248"/>
                <wp:lineTo x="0" y="21360"/>
                <wp:lineTo x="849" y="21484"/>
                <wp:lineTo x="20595" y="21484"/>
                <wp:lineTo x="21444" y="21360"/>
                <wp:lineTo x="21444" y="248"/>
                <wp:lineTo x="20595" y="0"/>
                <wp:lineTo x="84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0825" t="29295" r="25237" b="25249"/>
                    <a:stretch/>
                  </pic:blipFill>
                  <pic:spPr bwMode="auto">
                    <a:xfrm>
                      <a:off x="0" y="0"/>
                      <a:ext cx="1938020" cy="3313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6288" w:rsidRPr="00226288">
        <w:rPr>
          <w:rFonts w:eastAsia="Times New Roman"/>
          <w:b/>
          <w:bCs/>
        </w:rPr>
        <w:t>Geographic Boundaries</w:t>
      </w:r>
    </w:p>
    <w:p w14:paraId="77D2CE88" w14:textId="71905746" w:rsidR="007C1C58" w:rsidRPr="003368FD" w:rsidRDefault="00B8661E" w:rsidP="00D202EB">
      <w:pPr>
        <w:jc w:val="both"/>
        <w:rPr>
          <w:rFonts w:eastAsia="Times New Roman"/>
          <w:color w:val="000000"/>
          <w:sz w:val="20"/>
          <w:szCs w:val="20"/>
          <w:lang w:val="en-CA" w:eastAsia="en-CA"/>
        </w:rPr>
      </w:pPr>
      <w:r>
        <w:rPr>
          <w:szCs w:val="24"/>
        </w:rPr>
        <w:t>Entity 4</w:t>
      </w:r>
      <w:r w:rsidR="00D02067">
        <w:rPr>
          <w:szCs w:val="24"/>
        </w:rPr>
        <w:t xml:space="preserve"> would be comprised of </w:t>
      </w:r>
      <w:r w:rsidR="00EC452B">
        <w:rPr>
          <w:szCs w:val="24"/>
        </w:rPr>
        <w:t xml:space="preserve">the Town of </w:t>
      </w:r>
      <w:r>
        <w:rPr>
          <w:szCs w:val="24"/>
        </w:rPr>
        <w:t>Grand Falls/Grand-Saults</w:t>
      </w:r>
      <w:r w:rsidR="00EC452B">
        <w:rPr>
          <w:szCs w:val="24"/>
        </w:rPr>
        <w:t xml:space="preserve">, the </w:t>
      </w:r>
      <w:r w:rsidR="009A2CEB">
        <w:rPr>
          <w:szCs w:val="24"/>
        </w:rPr>
        <w:t xml:space="preserve">Rural Community </w:t>
      </w:r>
      <w:r w:rsidR="009A2CEB" w:rsidRPr="003368FD">
        <w:rPr>
          <w:szCs w:val="24"/>
        </w:rPr>
        <w:t xml:space="preserve">of </w:t>
      </w:r>
      <w:r w:rsidR="003368FD" w:rsidRPr="003368FD">
        <w:rPr>
          <w:rFonts w:eastAsia="Times New Roman"/>
          <w:color w:val="000000"/>
          <w:szCs w:val="24"/>
          <w:lang w:val="en-CA" w:eastAsia="en-CA"/>
        </w:rPr>
        <w:t>Saint-André</w:t>
      </w:r>
      <w:r w:rsidR="009A2CEB" w:rsidRPr="003368FD">
        <w:rPr>
          <w:szCs w:val="24"/>
        </w:rPr>
        <w:t>, the</w:t>
      </w:r>
      <w:r w:rsidR="009A2CEB">
        <w:rPr>
          <w:szCs w:val="24"/>
        </w:rPr>
        <w:t xml:space="preserve"> Village of Drummond, the Drummond Parish LSD, and portions of the Denmark, Lorne, Sainte-Anne, Notre-Dame-de-Lourdes, and Saint-Leonard LSDs. </w:t>
      </w:r>
      <w:r w:rsidR="007C1C58">
        <w:rPr>
          <w:szCs w:val="24"/>
        </w:rPr>
        <w:t>The municipal entity would stretch across Madawaska county, spannin</w:t>
      </w:r>
      <w:r w:rsidR="009A2CEB">
        <w:rPr>
          <w:szCs w:val="24"/>
        </w:rPr>
        <w:t xml:space="preserve">g from </w:t>
      </w:r>
      <w:r w:rsidR="007C1C58">
        <w:rPr>
          <w:szCs w:val="24"/>
        </w:rPr>
        <w:t>Restigouche county</w:t>
      </w:r>
      <w:r w:rsidR="009A2CEB">
        <w:rPr>
          <w:szCs w:val="24"/>
        </w:rPr>
        <w:t xml:space="preserve"> to the cluster of municipalities near the American border</w:t>
      </w:r>
      <w:r w:rsidR="007C1C58">
        <w:rPr>
          <w:szCs w:val="24"/>
        </w:rPr>
        <w:t xml:space="preserve">. Notably the boundaries of the proposed entity would not correlate with the old parish lines meaning the population estimates for </w:t>
      </w:r>
      <w:r w:rsidR="009A2CEB">
        <w:rPr>
          <w:szCs w:val="24"/>
        </w:rPr>
        <w:t xml:space="preserve">the </w:t>
      </w:r>
      <w:r w:rsidR="007C1C58">
        <w:rPr>
          <w:szCs w:val="24"/>
        </w:rPr>
        <w:t xml:space="preserve">following have </w:t>
      </w:r>
      <w:r w:rsidR="009A2CEB">
        <w:rPr>
          <w:szCs w:val="24"/>
        </w:rPr>
        <w:t>included</w:t>
      </w:r>
      <w:r w:rsidR="007C1C58">
        <w:rPr>
          <w:szCs w:val="24"/>
        </w:rPr>
        <w:t xml:space="preserve"> only the LSDs and municipalities with a significant portion of their area included in the proposed </w:t>
      </w:r>
      <w:r>
        <w:rPr>
          <w:szCs w:val="24"/>
        </w:rPr>
        <w:t>Entity 4</w:t>
      </w:r>
      <w:r w:rsidR="007C1C58">
        <w:rPr>
          <w:szCs w:val="24"/>
        </w:rPr>
        <w:t xml:space="preserve"> as the census data is still divided along existing administrative boundaries. </w:t>
      </w:r>
    </w:p>
    <w:p w14:paraId="4750B350" w14:textId="116C0399" w:rsidR="00226288" w:rsidRPr="00226288" w:rsidRDefault="00226288" w:rsidP="00226288">
      <w:pPr>
        <w:rPr>
          <w:rFonts w:eastAsia="Times New Roman"/>
          <w:b/>
          <w:bCs/>
        </w:rPr>
      </w:pPr>
      <w:r w:rsidRPr="00226288">
        <w:rPr>
          <w:rFonts w:eastAsia="Times New Roman"/>
          <w:b/>
          <w:bCs/>
        </w:rPr>
        <w:t>Demographic Base</w:t>
      </w:r>
    </w:p>
    <w:tbl>
      <w:tblPr>
        <w:tblpPr w:leftFromText="180" w:rightFromText="180" w:vertAnchor="text" w:horzAnchor="margin" w:tblpXSpec="right" w:tblpY="1116"/>
        <w:tblOverlap w:val="never"/>
        <w:tblW w:w="5797" w:type="dxa"/>
        <w:tblLook w:val="04A0" w:firstRow="1" w:lastRow="0" w:firstColumn="1" w:lastColumn="0" w:noHBand="0" w:noVBand="1"/>
      </w:tblPr>
      <w:tblGrid>
        <w:gridCol w:w="2496"/>
        <w:gridCol w:w="1652"/>
        <w:gridCol w:w="1649"/>
      </w:tblGrid>
      <w:tr w:rsidR="001B5F75" w:rsidRPr="001B5F75" w14:paraId="50C26A71" w14:textId="77777777" w:rsidTr="001B5F75">
        <w:trPr>
          <w:trHeight w:val="310"/>
        </w:trPr>
        <w:tc>
          <w:tcPr>
            <w:tcW w:w="5797" w:type="dxa"/>
            <w:gridSpan w:val="3"/>
            <w:tcBorders>
              <w:top w:val="nil"/>
              <w:left w:val="nil"/>
              <w:bottom w:val="single" w:sz="8" w:space="0" w:color="BFBFBF"/>
              <w:right w:val="nil"/>
            </w:tcBorders>
            <w:shd w:val="clear" w:color="auto" w:fill="auto"/>
            <w:noWrap/>
            <w:vAlign w:val="center"/>
            <w:hideMark/>
          </w:tcPr>
          <w:p w14:paraId="3A7C61D8" w14:textId="77777777" w:rsidR="001B5F75" w:rsidRPr="001B5F75" w:rsidRDefault="001B5F75" w:rsidP="001B5F75">
            <w:pPr>
              <w:jc w:val="center"/>
              <w:rPr>
                <w:rFonts w:eastAsia="Times New Roman"/>
                <w:b/>
                <w:bCs/>
                <w:color w:val="000000"/>
                <w:szCs w:val="24"/>
                <w:lang w:val="en-CA" w:eastAsia="en-CA"/>
              </w:rPr>
            </w:pPr>
            <w:r w:rsidRPr="001B5F75">
              <w:rPr>
                <w:rFonts w:eastAsia="Times New Roman"/>
                <w:b/>
                <w:bCs/>
                <w:color w:val="000000"/>
                <w:szCs w:val="24"/>
                <w:lang w:val="en-CA" w:eastAsia="en-CA"/>
              </w:rPr>
              <w:t>Voter Turnout by Existing Municipality</w:t>
            </w:r>
          </w:p>
        </w:tc>
      </w:tr>
      <w:tr w:rsidR="001B5F75" w:rsidRPr="001B5F75" w14:paraId="448EE0B1" w14:textId="77777777" w:rsidTr="001B5F75">
        <w:trPr>
          <w:trHeight w:val="970"/>
        </w:trPr>
        <w:tc>
          <w:tcPr>
            <w:tcW w:w="2496" w:type="dxa"/>
            <w:tcBorders>
              <w:top w:val="nil"/>
              <w:left w:val="nil"/>
              <w:bottom w:val="nil"/>
              <w:right w:val="nil"/>
            </w:tcBorders>
            <w:shd w:val="clear" w:color="4472C4" w:fill="4472C4"/>
            <w:vAlign w:val="center"/>
            <w:hideMark/>
          </w:tcPr>
          <w:p w14:paraId="4D7A5C1F" w14:textId="77777777" w:rsidR="001B5F75" w:rsidRPr="001B5F75" w:rsidRDefault="001B5F75" w:rsidP="001B5F75">
            <w:pPr>
              <w:spacing w:after="0" w:line="240" w:lineRule="auto"/>
              <w:jc w:val="center"/>
              <w:rPr>
                <w:rFonts w:eastAsia="Times New Roman"/>
                <w:b/>
                <w:bCs/>
                <w:color w:val="000000"/>
                <w:szCs w:val="24"/>
                <w:lang w:val="en-CA" w:eastAsia="en-CA"/>
              </w:rPr>
            </w:pPr>
            <w:r w:rsidRPr="001B5F75">
              <w:rPr>
                <w:rFonts w:eastAsia="Times New Roman"/>
                <w:b/>
                <w:bCs/>
                <w:color w:val="000000"/>
                <w:szCs w:val="24"/>
                <w:lang w:val="en-CA" w:eastAsia="en-CA"/>
              </w:rPr>
              <w:t>Municipality</w:t>
            </w:r>
          </w:p>
        </w:tc>
        <w:tc>
          <w:tcPr>
            <w:tcW w:w="1652" w:type="dxa"/>
            <w:tcBorders>
              <w:top w:val="nil"/>
              <w:left w:val="single" w:sz="4" w:space="0" w:color="FFFFFF"/>
              <w:bottom w:val="nil"/>
              <w:right w:val="nil"/>
            </w:tcBorders>
            <w:shd w:val="clear" w:color="4472C4" w:fill="4472C4"/>
            <w:hideMark/>
          </w:tcPr>
          <w:p w14:paraId="6A2D00C1" w14:textId="77777777" w:rsidR="001B5F75" w:rsidRPr="001B5F75" w:rsidRDefault="001B5F75" w:rsidP="001B5F75">
            <w:pPr>
              <w:spacing w:after="0" w:line="240" w:lineRule="auto"/>
              <w:jc w:val="center"/>
              <w:rPr>
                <w:rFonts w:eastAsia="Times New Roman"/>
                <w:b/>
                <w:bCs/>
                <w:color w:val="000000"/>
                <w:szCs w:val="24"/>
                <w:lang w:val="en-CA" w:eastAsia="en-CA"/>
              </w:rPr>
            </w:pPr>
            <w:r w:rsidRPr="001B5F75">
              <w:rPr>
                <w:rFonts w:eastAsia="Times New Roman"/>
                <w:b/>
                <w:bCs/>
                <w:color w:val="000000"/>
                <w:szCs w:val="24"/>
                <w:lang w:val="en-CA" w:eastAsia="en-CA"/>
              </w:rPr>
              <w:t>Voter Participation 2012</w:t>
            </w:r>
            <w:r w:rsidRPr="001B5F75">
              <w:rPr>
                <w:rFonts w:eastAsia="Times New Roman"/>
                <w:b/>
                <w:bCs/>
                <w:color w:val="000000"/>
                <w:szCs w:val="24"/>
                <w:vertAlign w:val="superscript"/>
                <w:lang w:val="en-CA" w:eastAsia="en-CA"/>
              </w:rPr>
              <w:t>1</w:t>
            </w:r>
          </w:p>
        </w:tc>
        <w:tc>
          <w:tcPr>
            <w:tcW w:w="1649" w:type="dxa"/>
            <w:tcBorders>
              <w:top w:val="nil"/>
              <w:left w:val="single" w:sz="4" w:space="0" w:color="FFFFFF"/>
              <w:bottom w:val="nil"/>
              <w:right w:val="nil"/>
            </w:tcBorders>
            <w:shd w:val="clear" w:color="4472C4" w:fill="4472C4"/>
            <w:hideMark/>
          </w:tcPr>
          <w:p w14:paraId="5B82D0BE" w14:textId="77777777" w:rsidR="001B5F75" w:rsidRPr="001B5F75" w:rsidRDefault="001B5F75" w:rsidP="001B5F75">
            <w:pPr>
              <w:spacing w:after="0" w:line="240" w:lineRule="auto"/>
              <w:jc w:val="center"/>
              <w:rPr>
                <w:rFonts w:eastAsia="Times New Roman"/>
                <w:b/>
                <w:bCs/>
                <w:color w:val="000000"/>
                <w:szCs w:val="24"/>
                <w:lang w:val="en-CA" w:eastAsia="en-CA"/>
              </w:rPr>
            </w:pPr>
            <w:r w:rsidRPr="001B5F75">
              <w:rPr>
                <w:rFonts w:eastAsia="Times New Roman"/>
                <w:b/>
                <w:bCs/>
                <w:color w:val="000000"/>
                <w:szCs w:val="24"/>
                <w:lang w:val="en-CA" w:eastAsia="en-CA"/>
              </w:rPr>
              <w:t>Voter Participation 2016</w:t>
            </w:r>
          </w:p>
        </w:tc>
      </w:tr>
      <w:tr w:rsidR="001B5F75" w:rsidRPr="001B5F75" w14:paraId="582A0A6C" w14:textId="77777777" w:rsidTr="001B5F75">
        <w:trPr>
          <w:trHeight w:val="320"/>
        </w:trPr>
        <w:tc>
          <w:tcPr>
            <w:tcW w:w="2496" w:type="dxa"/>
            <w:tcBorders>
              <w:top w:val="single" w:sz="12" w:space="0" w:color="FFFFFF"/>
              <w:left w:val="nil"/>
              <w:bottom w:val="nil"/>
              <w:right w:val="nil"/>
            </w:tcBorders>
            <w:shd w:val="clear" w:color="B4C6E7" w:fill="B4C6E7"/>
            <w:noWrap/>
            <w:vAlign w:val="bottom"/>
            <w:hideMark/>
          </w:tcPr>
          <w:p w14:paraId="384EADB5" w14:textId="77777777" w:rsidR="001B5F75" w:rsidRPr="001B5F75" w:rsidRDefault="001B5F75" w:rsidP="001B5F75">
            <w:pPr>
              <w:spacing w:after="0" w:line="240" w:lineRule="auto"/>
              <w:rPr>
                <w:rFonts w:eastAsia="Times New Roman"/>
                <w:color w:val="000000"/>
                <w:szCs w:val="24"/>
                <w:lang w:val="en-CA" w:eastAsia="en-CA"/>
              </w:rPr>
            </w:pPr>
            <w:r w:rsidRPr="001B5F75">
              <w:rPr>
                <w:rFonts w:eastAsia="Times New Roman"/>
                <w:color w:val="000000"/>
                <w:szCs w:val="24"/>
                <w:lang w:val="en-CA" w:eastAsia="en-CA"/>
              </w:rPr>
              <w:t>Grand Falls</w:t>
            </w:r>
          </w:p>
        </w:tc>
        <w:tc>
          <w:tcPr>
            <w:tcW w:w="1652" w:type="dxa"/>
            <w:tcBorders>
              <w:top w:val="single" w:sz="12" w:space="0" w:color="FFFFFF"/>
              <w:left w:val="single" w:sz="4" w:space="0" w:color="FFFFFF"/>
              <w:bottom w:val="nil"/>
              <w:right w:val="nil"/>
            </w:tcBorders>
            <w:shd w:val="clear" w:color="B4C6E7" w:fill="B4C6E7"/>
            <w:noWrap/>
            <w:vAlign w:val="bottom"/>
            <w:hideMark/>
          </w:tcPr>
          <w:p w14:paraId="3D6AD691"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73.8%</w:t>
            </w:r>
          </w:p>
        </w:tc>
        <w:tc>
          <w:tcPr>
            <w:tcW w:w="1649" w:type="dxa"/>
            <w:tcBorders>
              <w:top w:val="single" w:sz="12" w:space="0" w:color="FFFFFF"/>
              <w:left w:val="single" w:sz="4" w:space="0" w:color="FFFFFF"/>
              <w:bottom w:val="nil"/>
              <w:right w:val="nil"/>
            </w:tcBorders>
            <w:shd w:val="clear" w:color="B4C6E7" w:fill="B4C6E7"/>
            <w:noWrap/>
            <w:vAlign w:val="bottom"/>
            <w:hideMark/>
          </w:tcPr>
          <w:p w14:paraId="46B63C09"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70.4%</w:t>
            </w:r>
          </w:p>
        </w:tc>
      </w:tr>
      <w:tr w:rsidR="001B5F75" w:rsidRPr="001B5F75" w14:paraId="7AA0E159" w14:textId="77777777" w:rsidTr="001B5F75">
        <w:trPr>
          <w:trHeight w:val="320"/>
        </w:trPr>
        <w:tc>
          <w:tcPr>
            <w:tcW w:w="2496" w:type="dxa"/>
            <w:tcBorders>
              <w:top w:val="single" w:sz="4" w:space="0" w:color="FFFFFF"/>
              <w:left w:val="nil"/>
              <w:bottom w:val="nil"/>
              <w:right w:val="nil"/>
            </w:tcBorders>
            <w:shd w:val="clear" w:color="D9E1F2" w:fill="D9E1F2"/>
            <w:noWrap/>
            <w:vAlign w:val="bottom"/>
            <w:hideMark/>
          </w:tcPr>
          <w:p w14:paraId="5FDEB350" w14:textId="77777777" w:rsidR="001B5F75" w:rsidRPr="001B5F75" w:rsidRDefault="001B5F75" w:rsidP="001B5F75">
            <w:pPr>
              <w:spacing w:after="0" w:line="240" w:lineRule="auto"/>
              <w:rPr>
                <w:rFonts w:eastAsia="Times New Roman"/>
                <w:color w:val="000000"/>
                <w:szCs w:val="24"/>
                <w:lang w:val="en-CA" w:eastAsia="en-CA"/>
              </w:rPr>
            </w:pPr>
            <w:r w:rsidRPr="001B5F75">
              <w:rPr>
                <w:rFonts w:eastAsia="Times New Roman"/>
                <w:color w:val="000000"/>
                <w:szCs w:val="24"/>
                <w:lang w:val="en-CA" w:eastAsia="en-CA"/>
              </w:rPr>
              <w:t>Saint-André</w:t>
            </w:r>
          </w:p>
        </w:tc>
        <w:tc>
          <w:tcPr>
            <w:tcW w:w="1652" w:type="dxa"/>
            <w:tcBorders>
              <w:top w:val="single" w:sz="4" w:space="0" w:color="FFFFFF"/>
              <w:left w:val="single" w:sz="4" w:space="0" w:color="FFFFFF"/>
              <w:bottom w:val="nil"/>
              <w:right w:val="nil"/>
            </w:tcBorders>
            <w:shd w:val="clear" w:color="D9E1F2" w:fill="D9E1F2"/>
            <w:noWrap/>
            <w:vAlign w:val="bottom"/>
            <w:hideMark/>
          </w:tcPr>
          <w:p w14:paraId="7D91FB58"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67.4%</w:t>
            </w:r>
          </w:p>
        </w:tc>
        <w:tc>
          <w:tcPr>
            <w:tcW w:w="1649" w:type="dxa"/>
            <w:tcBorders>
              <w:top w:val="single" w:sz="4" w:space="0" w:color="FFFFFF"/>
              <w:left w:val="single" w:sz="4" w:space="0" w:color="FFFFFF"/>
              <w:bottom w:val="nil"/>
              <w:right w:val="nil"/>
            </w:tcBorders>
            <w:shd w:val="clear" w:color="D9E1F2" w:fill="D9E1F2"/>
            <w:noWrap/>
            <w:vAlign w:val="bottom"/>
            <w:hideMark/>
          </w:tcPr>
          <w:p w14:paraId="646465C3"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68.0%</w:t>
            </w:r>
          </w:p>
        </w:tc>
      </w:tr>
      <w:tr w:rsidR="001B5F75" w:rsidRPr="001B5F75" w14:paraId="26690BA8" w14:textId="77777777" w:rsidTr="001B5F75">
        <w:trPr>
          <w:trHeight w:val="310"/>
        </w:trPr>
        <w:tc>
          <w:tcPr>
            <w:tcW w:w="2496" w:type="dxa"/>
            <w:tcBorders>
              <w:top w:val="single" w:sz="4" w:space="0" w:color="FFFFFF"/>
              <w:left w:val="nil"/>
              <w:bottom w:val="nil"/>
              <w:right w:val="nil"/>
            </w:tcBorders>
            <w:shd w:val="clear" w:color="B4C6E7" w:fill="B4C6E7"/>
            <w:noWrap/>
            <w:vAlign w:val="bottom"/>
            <w:hideMark/>
          </w:tcPr>
          <w:p w14:paraId="08F208AC" w14:textId="77777777" w:rsidR="001B5F75" w:rsidRPr="001B5F75" w:rsidRDefault="001B5F75" w:rsidP="001B5F75">
            <w:pPr>
              <w:spacing w:after="0" w:line="240" w:lineRule="auto"/>
              <w:rPr>
                <w:rFonts w:eastAsia="Times New Roman"/>
                <w:color w:val="000000"/>
                <w:szCs w:val="24"/>
                <w:lang w:val="en-CA" w:eastAsia="en-CA"/>
              </w:rPr>
            </w:pPr>
            <w:r w:rsidRPr="001B5F75">
              <w:rPr>
                <w:rFonts w:eastAsia="Times New Roman"/>
                <w:color w:val="000000"/>
                <w:szCs w:val="24"/>
                <w:lang w:val="en-CA" w:eastAsia="en-CA"/>
              </w:rPr>
              <w:t>Drummond</w:t>
            </w:r>
          </w:p>
        </w:tc>
        <w:tc>
          <w:tcPr>
            <w:tcW w:w="1652" w:type="dxa"/>
            <w:tcBorders>
              <w:top w:val="single" w:sz="4" w:space="0" w:color="FFFFFF"/>
              <w:left w:val="single" w:sz="4" w:space="0" w:color="FFFFFF"/>
              <w:bottom w:val="nil"/>
              <w:right w:val="nil"/>
            </w:tcBorders>
            <w:shd w:val="clear" w:color="B4C6E7" w:fill="B4C6E7"/>
            <w:noWrap/>
            <w:vAlign w:val="bottom"/>
            <w:hideMark/>
          </w:tcPr>
          <w:p w14:paraId="48437358"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67.1%</w:t>
            </w:r>
          </w:p>
        </w:tc>
        <w:tc>
          <w:tcPr>
            <w:tcW w:w="1649" w:type="dxa"/>
            <w:tcBorders>
              <w:top w:val="single" w:sz="4" w:space="0" w:color="FFFFFF"/>
              <w:left w:val="single" w:sz="4" w:space="0" w:color="FFFFFF"/>
              <w:bottom w:val="nil"/>
              <w:right w:val="nil"/>
            </w:tcBorders>
            <w:shd w:val="clear" w:color="B4C6E7" w:fill="B4C6E7"/>
            <w:noWrap/>
            <w:vAlign w:val="bottom"/>
            <w:hideMark/>
          </w:tcPr>
          <w:p w14:paraId="5EACCE09" w14:textId="77777777" w:rsidR="001B5F75" w:rsidRPr="001B5F75" w:rsidRDefault="001B5F75" w:rsidP="001B5F75">
            <w:pPr>
              <w:spacing w:after="0" w:line="240" w:lineRule="auto"/>
              <w:jc w:val="right"/>
              <w:rPr>
                <w:rFonts w:eastAsia="Times New Roman"/>
                <w:color w:val="000000"/>
                <w:szCs w:val="24"/>
                <w:lang w:val="en-CA" w:eastAsia="en-CA"/>
              </w:rPr>
            </w:pPr>
            <w:r w:rsidRPr="001B5F75">
              <w:rPr>
                <w:rFonts w:eastAsia="Times New Roman"/>
                <w:color w:val="000000"/>
                <w:szCs w:val="24"/>
                <w:lang w:val="en-CA" w:eastAsia="en-CA"/>
              </w:rPr>
              <w:t>72.8%</w:t>
            </w:r>
          </w:p>
        </w:tc>
      </w:tr>
      <w:tr w:rsidR="001B5F75" w:rsidRPr="001B5F75" w14:paraId="719B9D1A" w14:textId="77777777" w:rsidTr="001B5F75">
        <w:trPr>
          <w:trHeight w:val="310"/>
        </w:trPr>
        <w:tc>
          <w:tcPr>
            <w:tcW w:w="2496" w:type="dxa"/>
            <w:tcBorders>
              <w:top w:val="nil"/>
              <w:left w:val="nil"/>
              <w:bottom w:val="nil"/>
              <w:right w:val="nil"/>
            </w:tcBorders>
            <w:shd w:val="clear" w:color="auto" w:fill="auto"/>
            <w:noWrap/>
            <w:vAlign w:val="bottom"/>
            <w:hideMark/>
          </w:tcPr>
          <w:p w14:paraId="26F10473" w14:textId="77777777" w:rsidR="001B5F75" w:rsidRPr="001B5F75" w:rsidRDefault="001B5F75" w:rsidP="001B5F75">
            <w:pPr>
              <w:spacing w:after="0" w:line="240" w:lineRule="auto"/>
              <w:rPr>
                <w:rFonts w:eastAsia="Times New Roman"/>
                <w:color w:val="000000"/>
                <w:sz w:val="20"/>
                <w:szCs w:val="20"/>
                <w:lang w:val="en-CA" w:eastAsia="en-CA"/>
              </w:rPr>
            </w:pPr>
            <w:r w:rsidRPr="001B5F75">
              <w:rPr>
                <w:rFonts w:eastAsia="Times New Roman"/>
                <w:color w:val="000000"/>
                <w:sz w:val="20"/>
                <w:szCs w:val="20"/>
                <w:lang w:val="en-CA" w:eastAsia="en-CA"/>
              </w:rPr>
              <w:t>1. Elections NB</w:t>
            </w:r>
          </w:p>
        </w:tc>
        <w:tc>
          <w:tcPr>
            <w:tcW w:w="1652" w:type="dxa"/>
            <w:tcBorders>
              <w:top w:val="nil"/>
              <w:left w:val="nil"/>
              <w:bottom w:val="nil"/>
              <w:right w:val="nil"/>
            </w:tcBorders>
            <w:shd w:val="clear" w:color="auto" w:fill="auto"/>
            <w:noWrap/>
            <w:vAlign w:val="bottom"/>
            <w:hideMark/>
          </w:tcPr>
          <w:p w14:paraId="07447025" w14:textId="77777777" w:rsidR="001B5F75" w:rsidRPr="001B5F75" w:rsidRDefault="001B5F75" w:rsidP="001B5F75">
            <w:pPr>
              <w:spacing w:after="0" w:line="240" w:lineRule="auto"/>
              <w:rPr>
                <w:rFonts w:eastAsia="Times New Roman"/>
                <w:color w:val="000000"/>
                <w:sz w:val="20"/>
                <w:szCs w:val="20"/>
                <w:lang w:val="en-CA" w:eastAsia="en-CA"/>
              </w:rPr>
            </w:pPr>
          </w:p>
        </w:tc>
        <w:tc>
          <w:tcPr>
            <w:tcW w:w="1649" w:type="dxa"/>
            <w:tcBorders>
              <w:top w:val="nil"/>
              <w:left w:val="nil"/>
              <w:bottom w:val="nil"/>
              <w:right w:val="nil"/>
            </w:tcBorders>
            <w:shd w:val="clear" w:color="auto" w:fill="auto"/>
            <w:noWrap/>
            <w:vAlign w:val="bottom"/>
            <w:hideMark/>
          </w:tcPr>
          <w:p w14:paraId="678EF00A" w14:textId="77777777" w:rsidR="001B5F75" w:rsidRPr="001B5F75" w:rsidRDefault="001B5F75" w:rsidP="001B5F75">
            <w:pPr>
              <w:spacing w:after="0" w:line="240" w:lineRule="auto"/>
              <w:rPr>
                <w:rFonts w:eastAsia="Times New Roman"/>
                <w:sz w:val="20"/>
                <w:szCs w:val="20"/>
                <w:lang w:val="en-CA" w:eastAsia="en-CA"/>
              </w:rPr>
            </w:pPr>
          </w:p>
        </w:tc>
      </w:tr>
    </w:tbl>
    <w:p w14:paraId="7D8A8940" w14:textId="412CBEE6" w:rsidR="00BA73EA" w:rsidRDefault="00226288" w:rsidP="00431ACD">
      <w:pPr>
        <w:rPr>
          <w:szCs w:val="24"/>
        </w:rPr>
      </w:pPr>
      <w:r w:rsidRPr="00226288">
        <w:rPr>
          <w:rFonts w:eastAsia="Times New Roman"/>
          <w:color w:val="000000" w:themeColor="text1"/>
          <w:szCs w:val="24"/>
        </w:rPr>
        <w:t>The total population of the municipal</w:t>
      </w:r>
      <w:r w:rsidRPr="00226288">
        <w:rPr>
          <w:szCs w:val="24"/>
        </w:rPr>
        <w:t xml:space="preserve">ity </w:t>
      </w:r>
      <w:r w:rsidRPr="00226288">
        <w:rPr>
          <w:rFonts w:eastAsia="Times New Roman"/>
          <w:color w:val="000000" w:themeColor="text1"/>
          <w:szCs w:val="24"/>
        </w:rPr>
        <w:t xml:space="preserve">would be approximately </w:t>
      </w:r>
      <w:r w:rsidR="009A2CEB">
        <w:rPr>
          <w:szCs w:val="24"/>
        </w:rPr>
        <w:t>9000</w:t>
      </w:r>
      <w:r w:rsidR="0038365B">
        <w:rPr>
          <w:szCs w:val="24"/>
        </w:rPr>
        <w:t xml:space="preserve"> </w:t>
      </w:r>
      <w:r w:rsidR="006437C2">
        <w:rPr>
          <w:szCs w:val="24"/>
        </w:rPr>
        <w:t>people</w:t>
      </w:r>
      <w:r w:rsidR="007C1C58">
        <w:rPr>
          <w:szCs w:val="24"/>
        </w:rPr>
        <w:t xml:space="preserve">. </w:t>
      </w:r>
      <w:r w:rsidR="009A2CEB">
        <w:rPr>
          <w:szCs w:val="24"/>
        </w:rPr>
        <w:t xml:space="preserve">Since 2011 the proposed entity has lost </w:t>
      </w:r>
      <w:r w:rsidR="009E34FE">
        <w:rPr>
          <w:szCs w:val="24"/>
        </w:rPr>
        <w:t>about 6% of its population</w:t>
      </w:r>
      <w:r w:rsidR="007C1C58">
        <w:rPr>
          <w:szCs w:val="24"/>
        </w:rPr>
        <w:t xml:space="preserve">. </w:t>
      </w:r>
      <w:r w:rsidR="00BA73EA" w:rsidRPr="00226288">
        <w:rPr>
          <w:rFonts w:eastAsia="Times New Roman"/>
          <w:color w:val="000000" w:themeColor="text1"/>
          <w:szCs w:val="24"/>
        </w:rPr>
        <w:t xml:space="preserve">In accordance with the </w:t>
      </w:r>
      <w:r w:rsidR="00BA73EA" w:rsidRPr="00226288">
        <w:rPr>
          <w:rFonts w:eastAsia="Times New Roman"/>
          <w:i/>
          <w:iCs/>
          <w:color w:val="000000" w:themeColor="text1"/>
          <w:szCs w:val="24"/>
        </w:rPr>
        <w:t>Official Languages Act</w:t>
      </w:r>
      <w:r w:rsidR="00BA73EA" w:rsidRPr="00226288">
        <w:rPr>
          <w:rFonts w:eastAsia="Times New Roman"/>
          <w:color w:val="000000" w:themeColor="text1"/>
          <w:szCs w:val="24"/>
        </w:rPr>
        <w:t xml:space="preserve">, </w:t>
      </w:r>
      <w:r w:rsidR="00B8661E">
        <w:rPr>
          <w:rFonts w:eastAsia="Times New Roman"/>
          <w:color w:val="000000" w:themeColor="text1"/>
          <w:szCs w:val="24"/>
        </w:rPr>
        <w:t>Entity 4</w:t>
      </w:r>
      <w:r w:rsidR="00BA73EA" w:rsidRPr="00226288">
        <w:rPr>
          <w:rFonts w:eastAsia="Times New Roman"/>
          <w:color w:val="000000" w:themeColor="text1"/>
          <w:szCs w:val="24"/>
        </w:rPr>
        <w:t xml:space="preserve"> would </w:t>
      </w:r>
      <w:r w:rsidR="00BA73EA">
        <w:rPr>
          <w:rFonts w:eastAsia="Times New Roman"/>
          <w:color w:val="000000" w:themeColor="text1"/>
          <w:szCs w:val="24"/>
        </w:rPr>
        <w:t xml:space="preserve">not </w:t>
      </w:r>
      <w:r w:rsidR="00BA73EA" w:rsidRPr="00226288">
        <w:rPr>
          <w:rFonts w:eastAsia="Times New Roman"/>
          <w:color w:val="000000" w:themeColor="text1"/>
          <w:szCs w:val="24"/>
        </w:rPr>
        <w:t xml:space="preserve">be required to operate bilingually because </w:t>
      </w:r>
      <w:r w:rsidR="009E34FE">
        <w:rPr>
          <w:rFonts w:eastAsia="Times New Roman"/>
          <w:color w:val="000000" w:themeColor="text1"/>
          <w:szCs w:val="24"/>
        </w:rPr>
        <w:t>84</w:t>
      </w:r>
      <w:r w:rsidR="00BA73EA">
        <w:rPr>
          <w:rFonts w:eastAsia="Times New Roman"/>
          <w:color w:val="000000" w:themeColor="text1"/>
          <w:szCs w:val="24"/>
        </w:rPr>
        <w:t xml:space="preserve">% of the residents are Francophones. </w:t>
      </w:r>
      <w:r w:rsidR="00BA73EA" w:rsidRPr="00226288">
        <w:rPr>
          <w:rFonts w:eastAsia="Times New Roman"/>
          <w:color w:val="000000" w:themeColor="text1"/>
          <w:szCs w:val="24"/>
        </w:rPr>
        <w:t xml:space="preserve"> </w:t>
      </w:r>
    </w:p>
    <w:p w14:paraId="629769DC" w14:textId="77777777" w:rsidR="00D06D5B" w:rsidRDefault="009A3B95" w:rsidP="00431ACD">
      <w:pPr>
        <w:rPr>
          <w:rFonts w:eastAsia="Times New Roman"/>
          <w:color w:val="000000" w:themeColor="text1"/>
          <w:szCs w:val="24"/>
        </w:rPr>
      </w:pPr>
      <w:r>
        <w:rPr>
          <w:rFonts w:eastAsia="Times New Roman"/>
          <w:color w:val="000000" w:themeColor="text1"/>
          <w:szCs w:val="24"/>
        </w:rPr>
        <w:t xml:space="preserve">As it stands today, </w:t>
      </w:r>
      <w:r w:rsidR="009E34FE">
        <w:rPr>
          <w:rFonts w:eastAsia="Times New Roman"/>
          <w:color w:val="000000" w:themeColor="text1"/>
          <w:szCs w:val="24"/>
        </w:rPr>
        <w:t xml:space="preserve">the democratic health of the proposed entity is remarkably positive. All three currently incorporated municipalities have higher than average voter turnouts around the 70% mark, and importantly have had no acclamations in the last two quadrennial election cycles. </w:t>
      </w:r>
      <w:r w:rsidR="001C6ECC">
        <w:rPr>
          <w:rFonts w:eastAsia="Times New Roman"/>
          <w:color w:val="000000" w:themeColor="text1"/>
          <w:szCs w:val="24"/>
        </w:rPr>
        <w:t xml:space="preserve">However, </w:t>
      </w:r>
      <w:r w:rsidR="005F096A" w:rsidRPr="005F096A">
        <w:rPr>
          <w:rFonts w:eastAsia="Times New Roman"/>
          <w:color w:val="000000"/>
          <w:szCs w:val="24"/>
          <w:lang w:val="en-CA" w:eastAsia="en-CA"/>
        </w:rPr>
        <w:t>Saint-André</w:t>
      </w:r>
      <w:r w:rsidR="005F096A">
        <w:rPr>
          <w:rFonts w:eastAsia="Times New Roman"/>
          <w:color w:val="000000"/>
          <w:szCs w:val="24"/>
          <w:lang w:val="en-CA" w:eastAsia="en-CA"/>
        </w:rPr>
        <w:t xml:space="preserve"> </w:t>
      </w:r>
      <w:r w:rsidR="001C6ECC">
        <w:rPr>
          <w:rFonts w:eastAsia="Times New Roman"/>
          <w:color w:val="000000"/>
          <w:szCs w:val="24"/>
          <w:lang w:val="en-CA" w:eastAsia="en-CA"/>
        </w:rPr>
        <w:t xml:space="preserve">has seen </w:t>
      </w:r>
      <w:r w:rsidR="001C6ECC">
        <w:rPr>
          <w:rFonts w:eastAsia="Times New Roman"/>
          <w:color w:val="000000"/>
          <w:szCs w:val="24"/>
          <w:lang w:val="en-CA" w:eastAsia="en-CA"/>
        </w:rPr>
        <w:lastRenderedPageBreak/>
        <w:t xml:space="preserve">frequent </w:t>
      </w:r>
      <w:r w:rsidR="00F91D5B">
        <w:rPr>
          <w:rFonts w:eastAsia="Times New Roman"/>
          <w:color w:val="000000"/>
          <w:szCs w:val="24"/>
          <w:lang w:val="en-CA" w:eastAsia="en-CA"/>
        </w:rPr>
        <w:t xml:space="preserve">by-elections since 2016, indicating a degradation in the community’s potential candidate pool. </w:t>
      </w:r>
      <w:r w:rsidR="009E34FE">
        <w:rPr>
          <w:rFonts w:eastAsia="Times New Roman"/>
          <w:color w:val="000000" w:themeColor="text1"/>
          <w:szCs w:val="24"/>
        </w:rPr>
        <w:t xml:space="preserve">Because of the optimistic evaluation of the three municipalities, however, the fact that the remaining quarter of the population have no local representative government to speak of is all the more inexcusable. </w:t>
      </w:r>
    </w:p>
    <w:tbl>
      <w:tblPr>
        <w:tblW w:w="9556" w:type="dxa"/>
        <w:tblLook w:val="04A0" w:firstRow="1" w:lastRow="0" w:firstColumn="1" w:lastColumn="0" w:noHBand="0" w:noVBand="1"/>
      </w:tblPr>
      <w:tblGrid>
        <w:gridCol w:w="1839"/>
        <w:gridCol w:w="1228"/>
        <w:gridCol w:w="1495"/>
        <w:gridCol w:w="1380"/>
        <w:gridCol w:w="1319"/>
        <w:gridCol w:w="976"/>
        <w:gridCol w:w="1319"/>
      </w:tblGrid>
      <w:tr w:rsidR="00D06D5B" w:rsidRPr="00D06D5B" w14:paraId="529FACF7" w14:textId="77777777" w:rsidTr="00D06D5B">
        <w:trPr>
          <w:trHeight w:val="310"/>
        </w:trPr>
        <w:tc>
          <w:tcPr>
            <w:tcW w:w="9556" w:type="dxa"/>
            <w:gridSpan w:val="7"/>
            <w:tcBorders>
              <w:top w:val="nil"/>
              <w:left w:val="nil"/>
              <w:bottom w:val="single" w:sz="4" w:space="0" w:color="FFFFFF"/>
              <w:right w:val="nil"/>
            </w:tcBorders>
            <w:shd w:val="clear" w:color="auto" w:fill="auto"/>
            <w:noWrap/>
            <w:vAlign w:val="center"/>
            <w:hideMark/>
          </w:tcPr>
          <w:p w14:paraId="65C506B8"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Status of By-Elections Since 2016</w:t>
            </w:r>
          </w:p>
        </w:tc>
      </w:tr>
      <w:tr w:rsidR="00D06D5B" w:rsidRPr="00D06D5B" w14:paraId="24207244" w14:textId="77777777" w:rsidTr="00D06D5B">
        <w:trPr>
          <w:trHeight w:val="970"/>
        </w:trPr>
        <w:tc>
          <w:tcPr>
            <w:tcW w:w="1839" w:type="dxa"/>
            <w:vMerge w:val="restart"/>
            <w:tcBorders>
              <w:top w:val="nil"/>
              <w:left w:val="single" w:sz="4" w:space="0" w:color="FFFFFF"/>
              <w:bottom w:val="single" w:sz="12" w:space="0" w:color="FFFFFF"/>
              <w:right w:val="single" w:sz="4" w:space="0" w:color="FFFFFF"/>
            </w:tcBorders>
            <w:shd w:val="clear" w:color="4472C4" w:fill="4472C4"/>
            <w:vAlign w:val="center"/>
            <w:hideMark/>
          </w:tcPr>
          <w:p w14:paraId="52BB5DB1"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Municipality</w:t>
            </w:r>
          </w:p>
        </w:tc>
        <w:tc>
          <w:tcPr>
            <w:tcW w:w="2723" w:type="dxa"/>
            <w:gridSpan w:val="2"/>
            <w:tcBorders>
              <w:top w:val="nil"/>
              <w:left w:val="nil"/>
              <w:bottom w:val="single" w:sz="4" w:space="0" w:color="FFFFFF"/>
              <w:right w:val="single" w:sz="4" w:space="0" w:color="FFFFFF"/>
            </w:tcBorders>
            <w:shd w:val="clear" w:color="4472C4" w:fill="4472C4"/>
            <w:vAlign w:val="center"/>
            <w:hideMark/>
          </w:tcPr>
          <w:p w14:paraId="79062098"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2017 By-Election(s)</w:t>
            </w:r>
          </w:p>
        </w:tc>
        <w:tc>
          <w:tcPr>
            <w:tcW w:w="2699" w:type="dxa"/>
            <w:gridSpan w:val="2"/>
            <w:tcBorders>
              <w:top w:val="nil"/>
              <w:left w:val="nil"/>
              <w:bottom w:val="single" w:sz="4" w:space="0" w:color="FFFFFF"/>
              <w:right w:val="single" w:sz="4" w:space="0" w:color="FFFFFF"/>
            </w:tcBorders>
            <w:shd w:val="clear" w:color="4472C4" w:fill="4472C4"/>
            <w:vAlign w:val="center"/>
            <w:hideMark/>
          </w:tcPr>
          <w:p w14:paraId="7B1D6A7D"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2018 By-Election(s)</w:t>
            </w:r>
          </w:p>
        </w:tc>
        <w:tc>
          <w:tcPr>
            <w:tcW w:w="2295" w:type="dxa"/>
            <w:gridSpan w:val="2"/>
            <w:tcBorders>
              <w:top w:val="nil"/>
              <w:left w:val="nil"/>
              <w:bottom w:val="single" w:sz="4" w:space="0" w:color="FFFFFF"/>
              <w:right w:val="single" w:sz="4" w:space="0" w:color="FFFFFF"/>
            </w:tcBorders>
            <w:shd w:val="clear" w:color="4472C4" w:fill="4472C4"/>
            <w:vAlign w:val="center"/>
            <w:hideMark/>
          </w:tcPr>
          <w:p w14:paraId="328B469B"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2019 By-Election(s)</w:t>
            </w:r>
          </w:p>
        </w:tc>
      </w:tr>
      <w:tr w:rsidR="00D06D5B" w:rsidRPr="00D06D5B" w14:paraId="4094612F" w14:textId="77777777" w:rsidTr="00D06D5B">
        <w:trPr>
          <w:trHeight w:val="320"/>
        </w:trPr>
        <w:tc>
          <w:tcPr>
            <w:tcW w:w="1839" w:type="dxa"/>
            <w:vMerge/>
            <w:tcBorders>
              <w:top w:val="nil"/>
              <w:left w:val="single" w:sz="4" w:space="0" w:color="FFFFFF"/>
              <w:bottom w:val="single" w:sz="12" w:space="0" w:color="FFFFFF"/>
              <w:right w:val="single" w:sz="4" w:space="0" w:color="FFFFFF"/>
            </w:tcBorders>
            <w:vAlign w:val="center"/>
            <w:hideMark/>
          </w:tcPr>
          <w:p w14:paraId="0BCC58E6" w14:textId="77777777" w:rsidR="00D06D5B" w:rsidRPr="00D06D5B" w:rsidRDefault="00D06D5B" w:rsidP="00D06D5B">
            <w:pPr>
              <w:spacing w:after="0" w:line="240" w:lineRule="auto"/>
              <w:rPr>
                <w:rFonts w:eastAsia="Times New Roman"/>
                <w:b/>
                <w:bCs/>
                <w:color w:val="000000"/>
                <w:szCs w:val="24"/>
                <w:lang w:val="en-CA" w:eastAsia="en-CA"/>
              </w:rPr>
            </w:pPr>
          </w:p>
        </w:tc>
        <w:tc>
          <w:tcPr>
            <w:tcW w:w="1228" w:type="dxa"/>
            <w:tcBorders>
              <w:top w:val="nil"/>
              <w:left w:val="nil"/>
              <w:bottom w:val="single" w:sz="4" w:space="0" w:color="FFFFFF"/>
              <w:right w:val="single" w:sz="4" w:space="0" w:color="FFFFFF"/>
            </w:tcBorders>
            <w:shd w:val="clear" w:color="4472C4" w:fill="4472C4"/>
            <w:vAlign w:val="center"/>
            <w:hideMark/>
          </w:tcPr>
          <w:p w14:paraId="397B19E4"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Mayor</w:t>
            </w:r>
          </w:p>
        </w:tc>
        <w:tc>
          <w:tcPr>
            <w:tcW w:w="1495" w:type="dxa"/>
            <w:tcBorders>
              <w:top w:val="nil"/>
              <w:left w:val="nil"/>
              <w:bottom w:val="single" w:sz="4" w:space="0" w:color="FFFFFF"/>
              <w:right w:val="single" w:sz="4" w:space="0" w:color="FFFFFF"/>
            </w:tcBorders>
            <w:shd w:val="clear" w:color="4472C4" w:fill="4472C4"/>
            <w:vAlign w:val="center"/>
            <w:hideMark/>
          </w:tcPr>
          <w:p w14:paraId="429D0B5B"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Councillor</w:t>
            </w:r>
          </w:p>
        </w:tc>
        <w:tc>
          <w:tcPr>
            <w:tcW w:w="1380" w:type="dxa"/>
            <w:tcBorders>
              <w:top w:val="nil"/>
              <w:left w:val="nil"/>
              <w:bottom w:val="single" w:sz="4" w:space="0" w:color="FFFFFF"/>
              <w:right w:val="single" w:sz="4" w:space="0" w:color="FFFFFF"/>
            </w:tcBorders>
            <w:shd w:val="clear" w:color="4472C4" w:fill="4472C4"/>
            <w:vAlign w:val="center"/>
            <w:hideMark/>
          </w:tcPr>
          <w:p w14:paraId="1DC97F7F"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Mayor</w:t>
            </w:r>
          </w:p>
        </w:tc>
        <w:tc>
          <w:tcPr>
            <w:tcW w:w="1319" w:type="dxa"/>
            <w:tcBorders>
              <w:top w:val="nil"/>
              <w:left w:val="nil"/>
              <w:bottom w:val="single" w:sz="4" w:space="0" w:color="FFFFFF"/>
              <w:right w:val="single" w:sz="4" w:space="0" w:color="FFFFFF"/>
            </w:tcBorders>
            <w:shd w:val="clear" w:color="4472C4" w:fill="4472C4"/>
            <w:vAlign w:val="center"/>
            <w:hideMark/>
          </w:tcPr>
          <w:p w14:paraId="562CF205"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Councillor</w:t>
            </w:r>
          </w:p>
        </w:tc>
        <w:tc>
          <w:tcPr>
            <w:tcW w:w="976" w:type="dxa"/>
            <w:tcBorders>
              <w:top w:val="nil"/>
              <w:left w:val="nil"/>
              <w:bottom w:val="single" w:sz="4" w:space="0" w:color="FFFFFF"/>
              <w:right w:val="single" w:sz="4" w:space="0" w:color="FFFFFF"/>
            </w:tcBorders>
            <w:shd w:val="clear" w:color="4472C4" w:fill="4472C4"/>
            <w:vAlign w:val="center"/>
            <w:hideMark/>
          </w:tcPr>
          <w:p w14:paraId="154D7D37"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Mayor</w:t>
            </w:r>
          </w:p>
        </w:tc>
        <w:tc>
          <w:tcPr>
            <w:tcW w:w="1319" w:type="dxa"/>
            <w:tcBorders>
              <w:top w:val="nil"/>
              <w:left w:val="nil"/>
              <w:bottom w:val="single" w:sz="4" w:space="0" w:color="FFFFFF"/>
              <w:right w:val="single" w:sz="4" w:space="0" w:color="FFFFFF"/>
            </w:tcBorders>
            <w:shd w:val="clear" w:color="4472C4" w:fill="4472C4"/>
            <w:vAlign w:val="center"/>
            <w:hideMark/>
          </w:tcPr>
          <w:p w14:paraId="58C960D3" w14:textId="77777777" w:rsidR="00D06D5B" w:rsidRPr="00D06D5B" w:rsidRDefault="00D06D5B" w:rsidP="00D06D5B">
            <w:pPr>
              <w:spacing w:after="0" w:line="240" w:lineRule="auto"/>
              <w:jc w:val="center"/>
              <w:rPr>
                <w:rFonts w:eastAsia="Times New Roman"/>
                <w:b/>
                <w:bCs/>
                <w:color w:val="000000"/>
                <w:szCs w:val="24"/>
                <w:lang w:val="en-CA" w:eastAsia="en-CA"/>
              </w:rPr>
            </w:pPr>
            <w:r w:rsidRPr="00D06D5B">
              <w:rPr>
                <w:rFonts w:eastAsia="Times New Roman"/>
                <w:b/>
                <w:bCs/>
                <w:color w:val="000000"/>
                <w:szCs w:val="24"/>
                <w:lang w:val="en-CA" w:eastAsia="en-CA"/>
              </w:rPr>
              <w:t>Councillor</w:t>
            </w:r>
          </w:p>
        </w:tc>
      </w:tr>
      <w:tr w:rsidR="00D06D5B" w:rsidRPr="00D06D5B" w14:paraId="45E6DC37" w14:textId="77777777" w:rsidTr="00D06D5B">
        <w:trPr>
          <w:trHeight w:val="320"/>
        </w:trPr>
        <w:tc>
          <w:tcPr>
            <w:tcW w:w="1839" w:type="dxa"/>
            <w:tcBorders>
              <w:top w:val="nil"/>
              <w:left w:val="nil"/>
              <w:bottom w:val="nil"/>
              <w:right w:val="nil"/>
            </w:tcBorders>
            <w:shd w:val="clear" w:color="B4C6E7" w:fill="B4C6E7"/>
            <w:noWrap/>
            <w:vAlign w:val="bottom"/>
            <w:hideMark/>
          </w:tcPr>
          <w:p w14:paraId="17611C72" w14:textId="77777777" w:rsidR="00D06D5B" w:rsidRPr="00D06D5B" w:rsidRDefault="00D06D5B" w:rsidP="00D06D5B">
            <w:pPr>
              <w:spacing w:after="0" w:line="240" w:lineRule="auto"/>
              <w:rPr>
                <w:rFonts w:eastAsia="Times New Roman"/>
                <w:color w:val="000000"/>
                <w:szCs w:val="24"/>
                <w:lang w:val="en-CA" w:eastAsia="en-CA"/>
              </w:rPr>
            </w:pPr>
            <w:r w:rsidRPr="00D06D5B">
              <w:rPr>
                <w:rFonts w:eastAsia="Times New Roman"/>
                <w:color w:val="000000"/>
                <w:szCs w:val="24"/>
                <w:lang w:val="en-CA" w:eastAsia="en-CA"/>
              </w:rPr>
              <w:t>Grand Falls</w:t>
            </w:r>
          </w:p>
        </w:tc>
        <w:tc>
          <w:tcPr>
            <w:tcW w:w="1228" w:type="dxa"/>
            <w:tcBorders>
              <w:top w:val="nil"/>
              <w:left w:val="single" w:sz="4" w:space="0" w:color="FFFFFF"/>
              <w:bottom w:val="nil"/>
              <w:right w:val="nil"/>
            </w:tcBorders>
            <w:shd w:val="clear" w:color="B4C6E7" w:fill="B4C6E7"/>
            <w:noWrap/>
            <w:vAlign w:val="bottom"/>
            <w:hideMark/>
          </w:tcPr>
          <w:p w14:paraId="038D0920"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495" w:type="dxa"/>
            <w:tcBorders>
              <w:top w:val="nil"/>
              <w:left w:val="single" w:sz="4" w:space="0" w:color="FFFFFF"/>
              <w:bottom w:val="nil"/>
              <w:right w:val="nil"/>
            </w:tcBorders>
            <w:shd w:val="clear" w:color="B4C6E7" w:fill="B4C6E7"/>
            <w:noWrap/>
            <w:vAlign w:val="bottom"/>
            <w:hideMark/>
          </w:tcPr>
          <w:p w14:paraId="54A3BD95"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80" w:type="dxa"/>
            <w:tcBorders>
              <w:top w:val="nil"/>
              <w:left w:val="single" w:sz="4" w:space="0" w:color="FFFFFF"/>
              <w:bottom w:val="nil"/>
              <w:right w:val="nil"/>
            </w:tcBorders>
            <w:shd w:val="clear" w:color="B4C6E7" w:fill="B4C6E7"/>
            <w:noWrap/>
            <w:vAlign w:val="bottom"/>
            <w:hideMark/>
          </w:tcPr>
          <w:p w14:paraId="28ACD65F"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19" w:type="dxa"/>
            <w:tcBorders>
              <w:top w:val="nil"/>
              <w:left w:val="single" w:sz="4" w:space="0" w:color="FFFFFF"/>
              <w:bottom w:val="nil"/>
              <w:right w:val="nil"/>
            </w:tcBorders>
            <w:shd w:val="clear" w:color="B4C6E7" w:fill="B4C6E7"/>
            <w:noWrap/>
            <w:vAlign w:val="bottom"/>
            <w:hideMark/>
          </w:tcPr>
          <w:p w14:paraId="09A8BACE"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976" w:type="dxa"/>
            <w:tcBorders>
              <w:top w:val="nil"/>
              <w:left w:val="single" w:sz="4" w:space="0" w:color="FFFFFF"/>
              <w:bottom w:val="nil"/>
              <w:right w:val="nil"/>
            </w:tcBorders>
            <w:shd w:val="clear" w:color="B4C6E7" w:fill="B4C6E7"/>
            <w:noWrap/>
            <w:vAlign w:val="bottom"/>
            <w:hideMark/>
          </w:tcPr>
          <w:p w14:paraId="29131E78"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19" w:type="dxa"/>
            <w:tcBorders>
              <w:top w:val="nil"/>
              <w:left w:val="single" w:sz="4" w:space="0" w:color="FFFFFF"/>
              <w:bottom w:val="nil"/>
              <w:right w:val="nil"/>
            </w:tcBorders>
            <w:shd w:val="clear" w:color="B4C6E7" w:fill="B4C6E7"/>
            <w:noWrap/>
            <w:vAlign w:val="bottom"/>
            <w:hideMark/>
          </w:tcPr>
          <w:p w14:paraId="5D84ACD2"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r>
      <w:tr w:rsidR="00D06D5B" w:rsidRPr="00D06D5B" w14:paraId="2ED0012C" w14:textId="77777777" w:rsidTr="00D06D5B">
        <w:trPr>
          <w:trHeight w:val="310"/>
        </w:trPr>
        <w:tc>
          <w:tcPr>
            <w:tcW w:w="1839" w:type="dxa"/>
            <w:tcBorders>
              <w:top w:val="single" w:sz="4" w:space="0" w:color="FFFFFF"/>
              <w:left w:val="nil"/>
              <w:bottom w:val="nil"/>
              <w:right w:val="nil"/>
            </w:tcBorders>
            <w:shd w:val="clear" w:color="D9E1F2" w:fill="D9E1F2"/>
            <w:noWrap/>
            <w:vAlign w:val="bottom"/>
            <w:hideMark/>
          </w:tcPr>
          <w:p w14:paraId="449B0159" w14:textId="77777777" w:rsidR="00D06D5B" w:rsidRPr="00D06D5B" w:rsidRDefault="00D06D5B" w:rsidP="00D06D5B">
            <w:pPr>
              <w:spacing w:after="0" w:line="240" w:lineRule="auto"/>
              <w:rPr>
                <w:rFonts w:eastAsia="Times New Roman"/>
                <w:color w:val="000000"/>
                <w:szCs w:val="24"/>
                <w:lang w:val="en-CA" w:eastAsia="en-CA"/>
              </w:rPr>
            </w:pPr>
            <w:r w:rsidRPr="00D06D5B">
              <w:rPr>
                <w:rFonts w:eastAsia="Times New Roman"/>
                <w:color w:val="000000"/>
                <w:szCs w:val="24"/>
                <w:lang w:val="en-CA" w:eastAsia="en-CA"/>
              </w:rPr>
              <w:t>Saint-André</w:t>
            </w:r>
          </w:p>
        </w:tc>
        <w:tc>
          <w:tcPr>
            <w:tcW w:w="1228" w:type="dxa"/>
            <w:tcBorders>
              <w:top w:val="single" w:sz="4" w:space="0" w:color="FFFFFF"/>
              <w:left w:val="single" w:sz="4" w:space="0" w:color="FFFFFF"/>
              <w:bottom w:val="nil"/>
              <w:right w:val="nil"/>
            </w:tcBorders>
            <w:shd w:val="clear" w:color="D9E1F2" w:fill="D9E1F2"/>
            <w:noWrap/>
            <w:vAlign w:val="bottom"/>
            <w:hideMark/>
          </w:tcPr>
          <w:p w14:paraId="098F853B"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495" w:type="dxa"/>
            <w:tcBorders>
              <w:top w:val="single" w:sz="4" w:space="0" w:color="FFFFFF"/>
              <w:left w:val="single" w:sz="4" w:space="0" w:color="FFFFFF"/>
              <w:bottom w:val="nil"/>
              <w:right w:val="nil"/>
            </w:tcBorders>
            <w:shd w:val="clear" w:color="D9E1F2" w:fill="D9E1F2"/>
            <w:noWrap/>
            <w:vAlign w:val="bottom"/>
            <w:hideMark/>
          </w:tcPr>
          <w:p w14:paraId="61F6F05D"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2 Acclaimed</w:t>
            </w:r>
          </w:p>
        </w:tc>
        <w:tc>
          <w:tcPr>
            <w:tcW w:w="1380" w:type="dxa"/>
            <w:tcBorders>
              <w:top w:val="single" w:sz="4" w:space="0" w:color="FFFFFF"/>
              <w:left w:val="single" w:sz="4" w:space="0" w:color="FFFFFF"/>
              <w:bottom w:val="nil"/>
              <w:right w:val="nil"/>
            </w:tcBorders>
            <w:shd w:val="clear" w:color="D9E1F2" w:fill="D9E1F2"/>
            <w:noWrap/>
            <w:vAlign w:val="bottom"/>
            <w:hideMark/>
          </w:tcPr>
          <w:p w14:paraId="59700802"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Contested</w:t>
            </w:r>
          </w:p>
        </w:tc>
        <w:tc>
          <w:tcPr>
            <w:tcW w:w="1319" w:type="dxa"/>
            <w:tcBorders>
              <w:top w:val="single" w:sz="4" w:space="0" w:color="FFFFFF"/>
              <w:left w:val="single" w:sz="4" w:space="0" w:color="FFFFFF"/>
              <w:bottom w:val="nil"/>
              <w:right w:val="nil"/>
            </w:tcBorders>
            <w:shd w:val="clear" w:color="D9E1F2" w:fill="D9E1F2"/>
            <w:noWrap/>
            <w:vAlign w:val="bottom"/>
            <w:hideMark/>
          </w:tcPr>
          <w:p w14:paraId="39F027F8"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976" w:type="dxa"/>
            <w:tcBorders>
              <w:top w:val="single" w:sz="4" w:space="0" w:color="FFFFFF"/>
              <w:left w:val="single" w:sz="4" w:space="0" w:color="FFFFFF"/>
              <w:bottom w:val="nil"/>
              <w:right w:val="nil"/>
            </w:tcBorders>
            <w:shd w:val="clear" w:color="D9E1F2" w:fill="D9E1F2"/>
            <w:noWrap/>
            <w:vAlign w:val="bottom"/>
            <w:hideMark/>
          </w:tcPr>
          <w:p w14:paraId="4D3A1681"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19" w:type="dxa"/>
            <w:tcBorders>
              <w:top w:val="single" w:sz="4" w:space="0" w:color="FFFFFF"/>
              <w:left w:val="single" w:sz="4" w:space="0" w:color="FFFFFF"/>
              <w:bottom w:val="nil"/>
              <w:right w:val="nil"/>
            </w:tcBorders>
            <w:shd w:val="clear" w:color="D9E1F2" w:fill="D9E1F2"/>
            <w:noWrap/>
            <w:vAlign w:val="bottom"/>
            <w:hideMark/>
          </w:tcPr>
          <w:p w14:paraId="487E42A8"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r>
      <w:tr w:rsidR="00D06D5B" w:rsidRPr="00D06D5B" w14:paraId="57F852C4" w14:textId="77777777" w:rsidTr="00D06D5B">
        <w:trPr>
          <w:trHeight w:val="310"/>
        </w:trPr>
        <w:tc>
          <w:tcPr>
            <w:tcW w:w="1839" w:type="dxa"/>
            <w:tcBorders>
              <w:top w:val="single" w:sz="4" w:space="0" w:color="FFFFFF"/>
              <w:left w:val="nil"/>
              <w:bottom w:val="nil"/>
              <w:right w:val="nil"/>
            </w:tcBorders>
            <w:shd w:val="clear" w:color="B4C6E7" w:fill="B4C6E7"/>
            <w:noWrap/>
            <w:vAlign w:val="bottom"/>
            <w:hideMark/>
          </w:tcPr>
          <w:p w14:paraId="7CC9BC2A" w14:textId="77777777" w:rsidR="00D06D5B" w:rsidRPr="00D06D5B" w:rsidRDefault="00D06D5B" w:rsidP="00D06D5B">
            <w:pPr>
              <w:spacing w:after="0" w:line="240" w:lineRule="auto"/>
              <w:rPr>
                <w:rFonts w:eastAsia="Times New Roman"/>
                <w:color w:val="000000"/>
                <w:szCs w:val="24"/>
                <w:lang w:val="en-CA" w:eastAsia="en-CA"/>
              </w:rPr>
            </w:pPr>
            <w:r w:rsidRPr="00D06D5B">
              <w:rPr>
                <w:rFonts w:eastAsia="Times New Roman"/>
                <w:color w:val="000000"/>
                <w:szCs w:val="24"/>
                <w:lang w:val="en-CA" w:eastAsia="en-CA"/>
              </w:rPr>
              <w:t>Drummond</w:t>
            </w:r>
          </w:p>
        </w:tc>
        <w:tc>
          <w:tcPr>
            <w:tcW w:w="1228" w:type="dxa"/>
            <w:tcBorders>
              <w:top w:val="single" w:sz="4" w:space="0" w:color="FFFFFF"/>
              <w:left w:val="single" w:sz="4" w:space="0" w:color="FFFFFF"/>
              <w:bottom w:val="nil"/>
              <w:right w:val="nil"/>
            </w:tcBorders>
            <w:shd w:val="clear" w:color="B4C6E7" w:fill="B4C6E7"/>
            <w:noWrap/>
            <w:vAlign w:val="bottom"/>
            <w:hideMark/>
          </w:tcPr>
          <w:p w14:paraId="62448686"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495" w:type="dxa"/>
            <w:tcBorders>
              <w:top w:val="single" w:sz="4" w:space="0" w:color="FFFFFF"/>
              <w:left w:val="single" w:sz="4" w:space="0" w:color="FFFFFF"/>
              <w:bottom w:val="nil"/>
              <w:right w:val="nil"/>
            </w:tcBorders>
            <w:shd w:val="clear" w:color="B4C6E7" w:fill="B4C6E7"/>
            <w:noWrap/>
            <w:vAlign w:val="bottom"/>
            <w:hideMark/>
          </w:tcPr>
          <w:p w14:paraId="79E9B8D7"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80" w:type="dxa"/>
            <w:tcBorders>
              <w:top w:val="single" w:sz="4" w:space="0" w:color="FFFFFF"/>
              <w:left w:val="single" w:sz="4" w:space="0" w:color="FFFFFF"/>
              <w:bottom w:val="nil"/>
              <w:right w:val="nil"/>
            </w:tcBorders>
            <w:shd w:val="clear" w:color="B4C6E7" w:fill="B4C6E7"/>
            <w:noWrap/>
            <w:vAlign w:val="bottom"/>
            <w:hideMark/>
          </w:tcPr>
          <w:p w14:paraId="1664FB1B"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19" w:type="dxa"/>
            <w:tcBorders>
              <w:top w:val="single" w:sz="4" w:space="0" w:color="FFFFFF"/>
              <w:left w:val="single" w:sz="4" w:space="0" w:color="FFFFFF"/>
              <w:bottom w:val="nil"/>
              <w:right w:val="nil"/>
            </w:tcBorders>
            <w:shd w:val="clear" w:color="B4C6E7" w:fill="B4C6E7"/>
            <w:noWrap/>
            <w:vAlign w:val="bottom"/>
            <w:hideMark/>
          </w:tcPr>
          <w:p w14:paraId="3B01FCF9"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976" w:type="dxa"/>
            <w:tcBorders>
              <w:top w:val="single" w:sz="4" w:space="0" w:color="FFFFFF"/>
              <w:left w:val="single" w:sz="4" w:space="0" w:color="FFFFFF"/>
              <w:bottom w:val="nil"/>
              <w:right w:val="nil"/>
            </w:tcBorders>
            <w:shd w:val="clear" w:color="B4C6E7" w:fill="B4C6E7"/>
            <w:noWrap/>
            <w:vAlign w:val="bottom"/>
            <w:hideMark/>
          </w:tcPr>
          <w:p w14:paraId="56529ED8"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c>
          <w:tcPr>
            <w:tcW w:w="1319" w:type="dxa"/>
            <w:tcBorders>
              <w:top w:val="single" w:sz="4" w:space="0" w:color="FFFFFF"/>
              <w:left w:val="single" w:sz="4" w:space="0" w:color="FFFFFF"/>
              <w:bottom w:val="nil"/>
              <w:right w:val="nil"/>
            </w:tcBorders>
            <w:shd w:val="clear" w:color="B4C6E7" w:fill="B4C6E7"/>
            <w:noWrap/>
            <w:vAlign w:val="bottom"/>
            <w:hideMark/>
          </w:tcPr>
          <w:p w14:paraId="3AA49BC3" w14:textId="77777777" w:rsidR="00D06D5B" w:rsidRPr="00D06D5B" w:rsidRDefault="00D06D5B" w:rsidP="00D06D5B">
            <w:pPr>
              <w:spacing w:after="0" w:line="240" w:lineRule="auto"/>
              <w:jc w:val="right"/>
              <w:rPr>
                <w:rFonts w:eastAsia="Times New Roman"/>
                <w:color w:val="000000"/>
                <w:szCs w:val="24"/>
                <w:lang w:val="en-CA" w:eastAsia="en-CA"/>
              </w:rPr>
            </w:pPr>
            <w:r w:rsidRPr="00D06D5B">
              <w:rPr>
                <w:rFonts w:eastAsia="Times New Roman"/>
                <w:color w:val="000000"/>
                <w:szCs w:val="24"/>
                <w:lang w:val="en-CA" w:eastAsia="en-CA"/>
              </w:rPr>
              <w:t>N/A</w:t>
            </w:r>
          </w:p>
        </w:tc>
      </w:tr>
      <w:tr w:rsidR="00D06D5B" w:rsidRPr="00D06D5B" w14:paraId="560C643F" w14:textId="77777777" w:rsidTr="00D06D5B">
        <w:trPr>
          <w:trHeight w:val="290"/>
        </w:trPr>
        <w:tc>
          <w:tcPr>
            <w:tcW w:w="9556" w:type="dxa"/>
            <w:gridSpan w:val="7"/>
            <w:tcBorders>
              <w:top w:val="nil"/>
              <w:left w:val="nil"/>
              <w:bottom w:val="nil"/>
              <w:right w:val="nil"/>
            </w:tcBorders>
            <w:shd w:val="clear" w:color="auto" w:fill="auto"/>
            <w:noWrap/>
            <w:vAlign w:val="bottom"/>
            <w:hideMark/>
          </w:tcPr>
          <w:p w14:paraId="6C8C1B9E" w14:textId="77777777" w:rsidR="00D06D5B" w:rsidRPr="00D06D5B" w:rsidRDefault="00D06D5B" w:rsidP="00D06D5B">
            <w:pPr>
              <w:spacing w:after="0" w:line="240" w:lineRule="auto"/>
              <w:rPr>
                <w:rFonts w:eastAsia="Times New Roman"/>
                <w:color w:val="000000"/>
                <w:sz w:val="20"/>
                <w:szCs w:val="20"/>
                <w:lang w:val="en-CA" w:eastAsia="en-CA"/>
              </w:rPr>
            </w:pPr>
            <w:r w:rsidRPr="00D06D5B">
              <w:rPr>
                <w:rFonts w:eastAsia="Times New Roman"/>
                <w:color w:val="000000"/>
                <w:sz w:val="20"/>
                <w:szCs w:val="20"/>
                <w:lang w:val="en-CA" w:eastAsia="en-CA"/>
              </w:rPr>
              <w:t>1. Elections NB</w:t>
            </w:r>
          </w:p>
        </w:tc>
      </w:tr>
    </w:tbl>
    <w:p w14:paraId="77FC3A55" w14:textId="4756813D" w:rsidR="009E34FE" w:rsidRDefault="00837DB4" w:rsidP="00555D12">
      <w:pPr>
        <w:spacing w:before="240"/>
        <w:rPr>
          <w:rFonts w:eastAsia="Times New Roman"/>
          <w:color w:val="000000" w:themeColor="text1"/>
          <w:szCs w:val="24"/>
        </w:rPr>
      </w:pPr>
      <w:r>
        <w:rPr>
          <w:rFonts w:eastAsia="Times New Roman"/>
          <w:color w:val="000000" w:themeColor="text1"/>
          <w:szCs w:val="24"/>
        </w:rPr>
        <w:t xml:space="preserve">In addition to providing </w:t>
      </w:r>
      <w:r w:rsidR="006732BD">
        <w:rPr>
          <w:rFonts w:eastAsia="Times New Roman"/>
          <w:color w:val="000000" w:themeColor="text1"/>
          <w:szCs w:val="24"/>
        </w:rPr>
        <w:t xml:space="preserve">land use planning and expanded services to the former LSD, </w:t>
      </w:r>
      <w:r w:rsidR="008E6830">
        <w:rPr>
          <w:rFonts w:eastAsia="Times New Roman"/>
          <w:color w:val="000000" w:themeColor="text1"/>
          <w:szCs w:val="24"/>
        </w:rPr>
        <w:t xml:space="preserve">incorporating the section of Drummond parish included in the proposed Entity 4 would </w:t>
      </w:r>
      <w:r w:rsidR="00764C4E">
        <w:rPr>
          <w:rFonts w:eastAsia="Times New Roman"/>
          <w:color w:val="000000" w:themeColor="text1"/>
          <w:szCs w:val="24"/>
        </w:rPr>
        <w:t xml:space="preserve">shore up the </w:t>
      </w:r>
      <w:r w:rsidR="00E27097">
        <w:rPr>
          <w:rFonts w:eastAsia="Times New Roman"/>
          <w:color w:val="000000" w:themeColor="text1"/>
          <w:szCs w:val="24"/>
        </w:rPr>
        <w:t>entity’s potential candidate pool. T</w:t>
      </w:r>
      <w:r w:rsidR="001E309E">
        <w:rPr>
          <w:rFonts w:eastAsia="Times New Roman"/>
          <w:color w:val="000000" w:themeColor="text1"/>
          <w:szCs w:val="24"/>
        </w:rPr>
        <w:t xml:space="preserve">he Village of Eel River Crossing provides a good example of how expanding incorporated lands can revive a community’s democratic institutions. In 2014, a number of contiguous LSDs voted to join the nearby village, resulting in a 2015 election which was highly contested. </w:t>
      </w:r>
      <w:r w:rsidR="001E309E" w:rsidRPr="00226288">
        <w:rPr>
          <w:rFonts w:eastAsia="Times New Roman"/>
          <w:color w:val="000000" w:themeColor="text1"/>
          <w:szCs w:val="24"/>
        </w:rPr>
        <w:t>Eel River Crossing’s first election s</w:t>
      </w:r>
      <w:r w:rsidR="001E309E">
        <w:rPr>
          <w:rFonts w:eastAsia="Times New Roman"/>
          <w:color w:val="000000" w:themeColor="text1"/>
          <w:szCs w:val="24"/>
        </w:rPr>
        <w:t xml:space="preserve">aw 8 </w:t>
      </w:r>
      <w:r w:rsidR="001E309E" w:rsidRPr="00226288">
        <w:rPr>
          <w:rFonts w:eastAsia="Times New Roman"/>
          <w:color w:val="000000" w:themeColor="text1"/>
          <w:szCs w:val="24"/>
        </w:rPr>
        <w:t xml:space="preserve">candidates compete for 4 at-large councillor positions. Of these </w:t>
      </w:r>
      <w:r w:rsidR="001E309E">
        <w:rPr>
          <w:rFonts w:eastAsia="Times New Roman"/>
          <w:color w:val="000000" w:themeColor="text1"/>
          <w:szCs w:val="24"/>
        </w:rPr>
        <w:t>8</w:t>
      </w:r>
      <w:r w:rsidR="001E309E" w:rsidRPr="00226288">
        <w:rPr>
          <w:rFonts w:eastAsia="Times New Roman"/>
          <w:color w:val="000000" w:themeColor="text1"/>
          <w:szCs w:val="24"/>
        </w:rPr>
        <w:t xml:space="preserve"> candidates, 4 were from previously unincorporated areas.</w:t>
      </w:r>
    </w:p>
    <w:p w14:paraId="3EC3BF32" w14:textId="0FE57565" w:rsidR="00226288" w:rsidRPr="00431ACD" w:rsidRDefault="00226288" w:rsidP="00226288">
      <w:pPr>
        <w:rPr>
          <w:rFonts w:eastAsia="Times New Roman"/>
          <w:color w:val="000000" w:themeColor="text1"/>
          <w:szCs w:val="24"/>
        </w:rPr>
      </w:pPr>
      <w:r w:rsidRPr="00226288">
        <w:rPr>
          <w:rFonts w:eastAsia="Times New Roman"/>
          <w:b/>
          <w:bCs/>
          <w:szCs w:val="24"/>
        </w:rPr>
        <w:t>Financial Base</w:t>
      </w:r>
    </w:p>
    <w:p w14:paraId="768AB3F5" w14:textId="2B4ED5D7" w:rsidR="00226288" w:rsidRPr="00226288" w:rsidRDefault="00B8661E" w:rsidP="00226288">
      <w:r>
        <w:t>Entity 4</w:t>
      </w:r>
      <w:r w:rsidR="00226288" w:rsidRPr="00226288">
        <w:t xml:space="preserve"> will also have a financial base capable of service provision beyond a simple aggregation of the assessed value of each constituent municipality and LSD. Under the new framework, municipal revenues will come from a combination of equalization payments from the provincial government, municipal property taxes, and other user fees related to services like water and wastewater usage. </w:t>
      </w:r>
    </w:p>
    <w:p w14:paraId="4226B331" w14:textId="0CAC9298" w:rsidR="00226288" w:rsidRPr="001B1F44" w:rsidRDefault="00226288" w:rsidP="00226288">
      <w:r w:rsidRPr="00226288">
        <w:t xml:space="preserve">Because its population is </w:t>
      </w:r>
      <w:r w:rsidR="00B125F3">
        <w:t>below 1</w:t>
      </w:r>
      <w:r w:rsidR="00275F78">
        <w:t>0000</w:t>
      </w:r>
      <w:r w:rsidRPr="00226288">
        <w:t xml:space="preserve">, </w:t>
      </w:r>
      <w:r w:rsidR="00B8661E">
        <w:t>Entity 4</w:t>
      </w:r>
      <w:r w:rsidR="00B125F3">
        <w:t xml:space="preserve"> would qualify as a ‘Group A</w:t>
      </w:r>
      <w:r w:rsidRPr="00226288">
        <w:t>’ municipality</w:t>
      </w:r>
      <w:r w:rsidR="003011C3">
        <w:t xml:space="preserve">. </w:t>
      </w:r>
      <w:r w:rsidR="00283BAC">
        <w:t xml:space="preserve">However, because Entity </w:t>
      </w:r>
      <w:r w:rsidR="005E30D1">
        <w:t>4</w:t>
      </w:r>
      <w:r w:rsidR="00283BAC">
        <w:t>’s property assessment base per capita is higher than</w:t>
      </w:r>
      <w:r w:rsidR="005E30D1">
        <w:t xml:space="preserve"> its group average</w:t>
      </w:r>
      <w:r w:rsidR="00283BAC">
        <w:t>, it will not require additional equalization funds to operate effectively.</w:t>
      </w:r>
      <w:r w:rsidR="001B1F44" w:rsidRPr="001B1F44">
        <w:t xml:space="preserve"> </w:t>
      </w:r>
      <w:r w:rsidR="001B1F44">
        <w:t xml:space="preserve">With the tax room transfer from the provincial government to municipal governments included in the proposed new framework, Entity </w:t>
      </w:r>
      <w:r w:rsidR="00291F0B">
        <w:t>4</w:t>
      </w:r>
      <w:r w:rsidR="001B1F44">
        <w:t>’s assessment base of $</w:t>
      </w:r>
      <w:r w:rsidR="00291F0B">
        <w:t>870</w:t>
      </w:r>
      <w:r w:rsidR="001B1F44">
        <w:t xml:space="preserve"> million will be able to yield more revenue than it could today, rendering the need for equalization payments unnecessary. Equal Opportunity among municipalities remains a priority in the new framework, but the primary guarantor of said equality is now tax warrants rather than equalization payments.</w:t>
      </w:r>
    </w:p>
    <w:p w14:paraId="61B53BEF" w14:textId="57C8FC43" w:rsidR="00226288" w:rsidRPr="00226288" w:rsidRDefault="00226288" w:rsidP="00226288">
      <w:r w:rsidRPr="00226288">
        <w:t xml:space="preserve">Of course, this tax room transfer does not necessitate that property tax rates will increase by $1.50 per $100 of valuation across </w:t>
      </w:r>
      <w:r w:rsidR="00B8661E">
        <w:t>Entity 4</w:t>
      </w:r>
      <w:r w:rsidRPr="00226288">
        <w:t xml:space="preserve">, nor does it indicate that the entire municipality will operate with one uniform property tax rate. </w:t>
      </w:r>
      <w:r w:rsidRPr="00226288">
        <w:rPr>
          <w:rFonts w:eastAsia="Times New Roman"/>
          <w:szCs w:val="24"/>
        </w:rPr>
        <w:t xml:space="preserve">Because </w:t>
      </w:r>
      <w:r w:rsidR="00B8661E">
        <w:rPr>
          <w:rFonts w:eastAsia="Times New Roman"/>
          <w:szCs w:val="24"/>
        </w:rPr>
        <w:t>Entity 4</w:t>
      </w:r>
      <w:r w:rsidRPr="00226288">
        <w:rPr>
          <w:rFonts w:eastAsia="Times New Roman"/>
          <w:szCs w:val="24"/>
        </w:rPr>
        <w:t xml:space="preserve"> would be composed of suburban and rural populations and since the level of local services may vary considerably within the same </w:t>
      </w:r>
      <w:r w:rsidRPr="00226288">
        <w:rPr>
          <w:rFonts w:eastAsia="Times New Roman"/>
          <w:szCs w:val="24"/>
        </w:rPr>
        <w:lastRenderedPageBreak/>
        <w:t>municipality, existing provisions regarding differentiated tax rates within the same municipality would need to be used. Residents within each municipality should be taxed for the level of services they receive.</w:t>
      </w:r>
      <w:r w:rsidRPr="00226288">
        <w:rPr>
          <w:rFonts w:eastAsia="Times New Roman"/>
          <w:szCs w:val="24"/>
          <w:vertAlign w:val="superscript"/>
        </w:rPr>
        <w:footnoteReference w:id="2"/>
      </w:r>
    </w:p>
    <w:p w14:paraId="03C37B35" w14:textId="77777777" w:rsidR="00234A56" w:rsidRDefault="00226288" w:rsidP="00226288">
      <w:r w:rsidRPr="00226288">
        <w:t>As has been seen in many municipalities around the province, municipalities can adopt differing tax rates for different areas under their jurisdiction. For example, while Eel River Crossing’s property tax rate in 201</w:t>
      </w:r>
      <w:r w:rsidR="00234790">
        <w:t>1</w:t>
      </w:r>
      <w:r w:rsidRPr="00226288">
        <w:t xml:space="preserve"> was $1.32 per $100, each former LSD had different, lower property tax rates appropriate to their circumstances. Similar situations can be found across the province, with some cities even imposing different tax rates for those inside and outside the urban center. </w:t>
      </w:r>
    </w:p>
    <w:p w14:paraId="42654CD4" w14:textId="7D5A55C0" w:rsidR="00226288" w:rsidRPr="00226288" w:rsidRDefault="00234A56" w:rsidP="00226288">
      <w:r>
        <w:t>O</w:t>
      </w:r>
      <w:r w:rsidR="00226288" w:rsidRPr="00226288">
        <w:t xml:space="preserve">verall, then, </w:t>
      </w:r>
      <w:r w:rsidR="00B8661E">
        <w:t>Entity 4</w:t>
      </w:r>
      <w:r w:rsidR="00226288" w:rsidRPr="00226288">
        <w:t xml:space="preserve"> would have a financial base appropriate to its size and population. With such a financial base, the municipal entity could be as ambitious or cautious in its service provision as its residents please. </w:t>
      </w:r>
    </w:p>
    <w:p w14:paraId="43413FBA" w14:textId="77777777" w:rsidR="00226288" w:rsidRPr="00226288" w:rsidRDefault="00226288" w:rsidP="00226288">
      <w:pPr>
        <w:rPr>
          <w:b/>
          <w:bCs/>
        </w:rPr>
      </w:pPr>
      <w:r w:rsidRPr="00226288">
        <w:rPr>
          <w:b/>
          <w:bCs/>
        </w:rPr>
        <w:t>Division of Municipal and Provincial Responsibilities</w:t>
      </w:r>
    </w:p>
    <w:p w14:paraId="3936984A" w14:textId="0AAAC0B0" w:rsidR="00226288" w:rsidRPr="00226288" w:rsidRDefault="00226288" w:rsidP="00226288">
      <w:r w:rsidRPr="00226288">
        <w:rPr>
          <w:rFonts w:eastAsia="Times New Roman"/>
          <w:szCs w:val="24"/>
        </w:rPr>
        <w:t xml:space="preserve">In addition to </w:t>
      </w:r>
      <w:r w:rsidRPr="00226288">
        <w:t>policing, emergency measures planning,</w:t>
      </w:r>
      <w:r w:rsidRPr="00226288">
        <w:rPr>
          <w:rFonts w:eastAsia="Times New Roman"/>
          <w:szCs w:val="24"/>
        </w:rPr>
        <w:t xml:space="preserve"> fire prevention and suppression, roads, and garbage disposal, a municipality may choose to enlarge its role and provide a great number of other services. Many municipalities also take responsibility for local arts and culture, parks and recreation, public transportation, and more. Whether or not this sort of expansion is done is entirely up to the residents of </w:t>
      </w:r>
      <w:r w:rsidR="00B8661E">
        <w:rPr>
          <w:rFonts w:eastAsia="Times New Roman"/>
          <w:szCs w:val="24"/>
        </w:rPr>
        <w:t>Entity 4</w:t>
      </w:r>
      <w:r w:rsidRPr="00226288">
        <w:rPr>
          <w:rFonts w:eastAsia="Times New Roman"/>
          <w:szCs w:val="24"/>
        </w:rPr>
        <w:t xml:space="preserve">, and the tax rates of the entity would reflect this level of service. </w:t>
      </w:r>
    </w:p>
    <w:p w14:paraId="7E7D20ED" w14:textId="77777777" w:rsidR="00226288" w:rsidRPr="00226288" w:rsidRDefault="00226288" w:rsidP="00226288">
      <w:pPr>
        <w:rPr>
          <w:rFonts w:eastAsia="Times New Roman"/>
          <w:szCs w:val="24"/>
        </w:rPr>
      </w:pPr>
      <w:r w:rsidRPr="00226288">
        <w:rPr>
          <w:rFonts w:eastAsia="Times New Roman"/>
          <w:szCs w:val="24"/>
        </w:rPr>
        <w:t xml:space="preserve">Many of these services, however, would be better served being provided at the regional rather than local level. Rather than leaving some services in the care of the province, the new framework provides Regional Service Districts within which municipalities can collaborate on such basic services as policing, waste management, economic development, and land-use planning. Collaboration on these issues will further reduce cost for services, allowing property tax rates to remain at a reasonable rate. </w:t>
      </w:r>
    </w:p>
    <w:p w14:paraId="3A5006DC" w14:textId="3032B3B1" w:rsidR="0082125B" w:rsidRPr="00226288" w:rsidRDefault="00B8661E" w:rsidP="0082125B">
      <w:pPr>
        <w:rPr>
          <w:rFonts w:eastAsia="Times New Roman"/>
          <w:szCs w:val="24"/>
        </w:rPr>
      </w:pPr>
      <w:r>
        <w:rPr>
          <w:rFonts w:eastAsia="Times New Roman"/>
          <w:szCs w:val="24"/>
        </w:rPr>
        <w:t>Entity 4</w:t>
      </w:r>
      <w:r w:rsidR="00226288" w:rsidRPr="00226288">
        <w:rPr>
          <w:rFonts w:eastAsia="Times New Roman"/>
          <w:szCs w:val="24"/>
        </w:rPr>
        <w:t xml:space="preserve"> would belong to </w:t>
      </w:r>
      <w:r w:rsidR="0082125B" w:rsidRPr="00226288">
        <w:rPr>
          <w:rFonts w:eastAsia="Times New Roman"/>
          <w:szCs w:val="24"/>
        </w:rPr>
        <w:t xml:space="preserve">RSD </w:t>
      </w:r>
      <w:r w:rsidR="0082125B">
        <w:rPr>
          <w:rFonts w:eastAsia="Times New Roman"/>
          <w:szCs w:val="24"/>
        </w:rPr>
        <w:t>1</w:t>
      </w:r>
      <w:r w:rsidR="0082125B" w:rsidRPr="00226288">
        <w:rPr>
          <w:rFonts w:eastAsia="Times New Roman"/>
          <w:szCs w:val="24"/>
        </w:rPr>
        <w:t xml:space="preserve"> along with its neighbours Entities </w:t>
      </w:r>
      <w:r w:rsidR="00A10201">
        <w:rPr>
          <w:rFonts w:eastAsia="Times New Roman"/>
          <w:szCs w:val="24"/>
        </w:rPr>
        <w:t>1</w:t>
      </w:r>
      <w:r w:rsidR="0082125B">
        <w:rPr>
          <w:rFonts w:eastAsia="Times New Roman"/>
          <w:szCs w:val="24"/>
        </w:rPr>
        <w:t xml:space="preserve"> to 6, covering Madawaska, Victoria and a portion of Restigouche county</w:t>
      </w:r>
      <w:r w:rsidR="0082125B" w:rsidRPr="00226288">
        <w:rPr>
          <w:rFonts w:eastAsia="Times New Roman"/>
          <w:szCs w:val="24"/>
        </w:rPr>
        <w:t xml:space="preserve">. As with each municipal entity, RSDs could conceivably be named, but this would be left to each community to determine for itself. All </w:t>
      </w:r>
      <w:r w:rsidR="0082125B">
        <w:rPr>
          <w:rFonts w:eastAsia="Times New Roman"/>
          <w:szCs w:val="24"/>
        </w:rPr>
        <w:t>6</w:t>
      </w:r>
      <w:r w:rsidR="0082125B" w:rsidRPr="00226288">
        <w:rPr>
          <w:rFonts w:eastAsia="Times New Roman"/>
          <w:szCs w:val="24"/>
        </w:rPr>
        <w:t xml:space="preserve"> </w:t>
      </w:r>
      <w:r w:rsidR="0082125B" w:rsidRPr="00226288">
        <w:rPr>
          <w:rFonts w:eastAsia="Times New Roman"/>
          <w:szCs w:val="24"/>
        </w:rPr>
        <w:lastRenderedPageBreak/>
        <w:t>entities would b</w:t>
      </w:r>
      <w:r w:rsidR="0082125B">
        <w:rPr>
          <w:rFonts w:eastAsia="Times New Roman"/>
          <w:szCs w:val="24"/>
        </w:rPr>
        <w:t xml:space="preserve">e </w:t>
      </w:r>
      <w:r w:rsidR="0082125B" w:rsidRPr="00226288">
        <w:rPr>
          <w:rFonts w:eastAsia="Times New Roman"/>
          <w:szCs w:val="24"/>
        </w:rPr>
        <w:t xml:space="preserve">partners in the provision of regional services, with each contributing in accordance with their respective demographic and tax bases. </w:t>
      </w:r>
      <w:r w:rsidR="0082125B" w:rsidRPr="00226288">
        <w:rPr>
          <w:noProof/>
          <w:lang w:val="en-CA" w:eastAsia="en-CA"/>
        </w:rPr>
        <w:drawing>
          <wp:anchor distT="0" distB="0" distL="114300" distR="114300" simplePos="0" relativeHeight="251671040" behindDoc="0" locked="0" layoutInCell="1" allowOverlap="1" wp14:anchorId="0E57F4A1" wp14:editId="5F507D48">
            <wp:simplePos x="0" y="0"/>
            <wp:positionH relativeFrom="column">
              <wp:posOffset>0</wp:posOffset>
            </wp:positionH>
            <wp:positionV relativeFrom="paragraph">
              <wp:posOffset>1044575</wp:posOffset>
            </wp:positionV>
            <wp:extent cx="3495675" cy="3163570"/>
            <wp:effectExtent l="0" t="0" r="9525" b="0"/>
            <wp:wrapThrough wrapText="bothSides">
              <wp:wrapPolygon edited="0">
                <wp:start x="118" y="0"/>
                <wp:lineTo x="0" y="21461"/>
                <wp:lineTo x="21541" y="21461"/>
                <wp:lineTo x="21541" y="0"/>
                <wp:lineTo x="118"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68" t="-920" r="2641" b="2154"/>
                    <a:stretch/>
                  </pic:blipFill>
                  <pic:spPr bwMode="auto">
                    <a:xfrm>
                      <a:off x="0" y="0"/>
                      <a:ext cx="3495675" cy="316357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3EC22" w14:textId="77777777" w:rsidR="0082125B" w:rsidRDefault="0082125B" w:rsidP="0082125B">
      <w:pPr>
        <w:rPr>
          <w:rFonts w:eastAsia="Times New Roman"/>
          <w:szCs w:val="24"/>
        </w:rPr>
      </w:pPr>
      <w:r w:rsidRPr="00226288">
        <w:rPr>
          <w:rFonts w:eastAsia="Times New Roman"/>
          <w:szCs w:val="24"/>
        </w:rPr>
        <w:t>While this region is far too large to be incorporated into a single municipality, the populations nonetheless have a great deal of shared experiences and challenges</w:t>
      </w:r>
      <w:r>
        <w:rPr>
          <w:rFonts w:eastAsia="Times New Roman"/>
          <w:szCs w:val="24"/>
        </w:rPr>
        <w:t xml:space="preserve">. </w:t>
      </w:r>
    </w:p>
    <w:p w14:paraId="035C75A3" w14:textId="2294503A" w:rsidR="002F62E8" w:rsidRDefault="0082125B" w:rsidP="0082125B">
      <w:pPr>
        <w:rPr>
          <w:rFonts w:eastAsia="Times New Roman"/>
          <w:szCs w:val="24"/>
        </w:rPr>
      </w:pPr>
      <w:r>
        <w:rPr>
          <w:rFonts w:eastAsia="Times New Roman"/>
          <w:szCs w:val="24"/>
        </w:rPr>
        <w:t xml:space="preserve">The commuting population of RSD 1 is split between those who commute to work within their own community (46%) those who commute to a different community within the same county (40%), and those commuting to a different county (11%). Entity 4 is of particular interest as it relates to the coherency of the RSD as a whole because of its position at the crossroads of the three effected counties. </w:t>
      </w:r>
      <w:r w:rsidR="00B06644">
        <w:rPr>
          <w:rFonts w:eastAsia="Times New Roman"/>
          <w:szCs w:val="24"/>
        </w:rPr>
        <w:t xml:space="preserve">While smaller than Edmundston, the three communities </w:t>
      </w:r>
      <w:r w:rsidR="001434FE">
        <w:rPr>
          <w:rFonts w:eastAsia="Times New Roman"/>
          <w:szCs w:val="24"/>
        </w:rPr>
        <w:t xml:space="preserve">clustered in Entity 4 nonetheless constitute an economic hub within RSD 1. Accordingly, Entity 4 has the second highest </w:t>
      </w:r>
      <w:r w:rsidR="009B353D">
        <w:rPr>
          <w:rFonts w:eastAsia="Times New Roman"/>
          <w:szCs w:val="24"/>
        </w:rPr>
        <w:t>proportion of</w:t>
      </w:r>
      <w:r w:rsidR="000F7938">
        <w:rPr>
          <w:rFonts w:eastAsia="Times New Roman"/>
          <w:szCs w:val="24"/>
        </w:rPr>
        <w:t xml:space="preserve"> </w:t>
      </w:r>
      <w:r w:rsidR="009B353D">
        <w:rPr>
          <w:rFonts w:eastAsia="Times New Roman"/>
          <w:szCs w:val="24"/>
        </w:rPr>
        <w:t xml:space="preserve">commuters who remain within their own community for work after Entity 2, the proposed entity which encompasses Edmundston. </w:t>
      </w:r>
      <w:r w:rsidR="00D03E8D">
        <w:rPr>
          <w:rFonts w:eastAsia="Times New Roman"/>
          <w:szCs w:val="24"/>
        </w:rPr>
        <w:t xml:space="preserve">This role as an economic driver </w:t>
      </w:r>
      <w:r w:rsidR="006F5401">
        <w:rPr>
          <w:rFonts w:eastAsia="Times New Roman"/>
          <w:szCs w:val="24"/>
        </w:rPr>
        <w:t xml:space="preserve">incentivizes further economic interrelation. </w:t>
      </w:r>
      <w:r w:rsidR="004139D8">
        <w:rPr>
          <w:rFonts w:eastAsia="Times New Roman"/>
          <w:szCs w:val="24"/>
        </w:rPr>
        <w:t>In addition, however, Entity 4 also has the highest proportion of commuters who travel to a different county for work</w:t>
      </w:r>
      <w:r w:rsidR="00525B4A">
        <w:rPr>
          <w:rFonts w:eastAsia="Times New Roman"/>
          <w:szCs w:val="24"/>
        </w:rPr>
        <w:t xml:space="preserve">, with 24% of its commuters presumably travelling to either Madawaska or Restigouche county. </w:t>
      </w:r>
      <w:r w:rsidR="00164C08">
        <w:rPr>
          <w:rFonts w:eastAsia="Times New Roman"/>
          <w:szCs w:val="24"/>
        </w:rPr>
        <w:t xml:space="preserve">These factors </w:t>
      </w:r>
      <w:r w:rsidR="00420F19">
        <w:rPr>
          <w:rFonts w:eastAsia="Times New Roman"/>
          <w:szCs w:val="24"/>
        </w:rPr>
        <w:t xml:space="preserve">both justify the inclusion of all three counties in a single regional entity and highlight the importance </w:t>
      </w:r>
      <w:r w:rsidR="008145C6">
        <w:rPr>
          <w:rFonts w:eastAsia="Times New Roman"/>
          <w:szCs w:val="24"/>
        </w:rPr>
        <w:t xml:space="preserve">of collaboration in economic development and planning </w:t>
      </w:r>
      <w:r w:rsidR="00420F19">
        <w:rPr>
          <w:rFonts w:eastAsia="Times New Roman"/>
          <w:szCs w:val="24"/>
        </w:rPr>
        <w:t>for Entity 4 in particular</w:t>
      </w:r>
      <w:r w:rsidR="008145C6">
        <w:rPr>
          <w:rFonts w:eastAsia="Times New Roman"/>
          <w:szCs w:val="24"/>
        </w:rPr>
        <w:t>.</w:t>
      </w:r>
    </w:p>
    <w:p w14:paraId="7BEFB9DD" w14:textId="77777777" w:rsidR="00226288" w:rsidRPr="00226288" w:rsidRDefault="00226288" w:rsidP="00226288">
      <w:pPr>
        <w:rPr>
          <w:rFonts w:eastAsia="Times New Roman"/>
          <w:szCs w:val="24"/>
        </w:rPr>
      </w:pPr>
      <w:r w:rsidRPr="00226288">
        <w:rPr>
          <w:rFonts w:eastAsia="Times New Roman"/>
          <w:szCs w:val="24"/>
        </w:rPr>
        <w:t xml:space="preserve">The new framework would therefor clarify the distinction between municipal and provincial responsibilities. While today the service provision of roads, animal control, and policing is dependent on whether or not you live in an incorporated or unincorporated local governance entity, in the new framework, all of these services will be provided by the municipal government. When the residents know exactly who is accountable for what, services will improve. </w:t>
      </w:r>
    </w:p>
    <w:p w14:paraId="36BA5224" w14:textId="77777777" w:rsidR="00226288" w:rsidRPr="00226288" w:rsidRDefault="00226288" w:rsidP="00226288">
      <w:pPr>
        <w:rPr>
          <w:rFonts w:eastAsia="Times New Roman"/>
          <w:b/>
          <w:bCs/>
          <w:szCs w:val="24"/>
        </w:rPr>
      </w:pPr>
      <w:r w:rsidRPr="00226288">
        <w:rPr>
          <w:rFonts w:eastAsia="Times New Roman"/>
          <w:b/>
          <w:bCs/>
          <w:szCs w:val="24"/>
        </w:rPr>
        <w:t>Summation</w:t>
      </w:r>
    </w:p>
    <w:p w14:paraId="24EDF67D" w14:textId="3F0A0A6F" w:rsidR="00226288" w:rsidRPr="00226288" w:rsidRDefault="00226288" w:rsidP="00226288">
      <w:pPr>
        <w:rPr>
          <w:rFonts w:eastAsia="Times New Roman"/>
          <w:szCs w:val="24"/>
        </w:rPr>
      </w:pPr>
      <w:r w:rsidRPr="00226288">
        <w:rPr>
          <w:rFonts w:eastAsia="Times New Roman"/>
          <w:szCs w:val="24"/>
        </w:rPr>
        <w:t xml:space="preserve">Overall, </w:t>
      </w:r>
      <w:r w:rsidR="00B8661E">
        <w:rPr>
          <w:rFonts w:eastAsia="Times New Roman"/>
          <w:szCs w:val="24"/>
        </w:rPr>
        <w:t>Entity 4</w:t>
      </w:r>
      <w:r w:rsidRPr="00226288">
        <w:rPr>
          <w:rFonts w:eastAsia="Times New Roman"/>
          <w:szCs w:val="24"/>
        </w:rPr>
        <w:t xml:space="preserve"> would allow </w:t>
      </w:r>
      <w:r w:rsidR="004F45C5">
        <w:rPr>
          <w:rFonts w:eastAsia="Times New Roman"/>
          <w:szCs w:val="24"/>
        </w:rPr>
        <w:t>its</w:t>
      </w:r>
      <w:r w:rsidRPr="00226288">
        <w:rPr>
          <w:rFonts w:eastAsia="Times New Roman"/>
          <w:szCs w:val="24"/>
        </w:rPr>
        <w:t xml:space="preserve"> residents to enjoy a comparable level of service in correlation with their level of taxation, to feel represented at a local level and have a real say in how their property tax dollars are being spent, and create a municipal entity that is sustainable enough to navigate the demographic and economic challenges of the 21</w:t>
      </w:r>
      <w:r w:rsidRPr="00226288">
        <w:rPr>
          <w:rFonts w:eastAsia="Times New Roman"/>
          <w:szCs w:val="24"/>
          <w:vertAlign w:val="superscript"/>
        </w:rPr>
        <w:t>st</w:t>
      </w:r>
      <w:r w:rsidRPr="00226288">
        <w:rPr>
          <w:rFonts w:eastAsia="Times New Roman"/>
          <w:szCs w:val="24"/>
        </w:rPr>
        <w:t xml:space="preserve"> century. </w:t>
      </w:r>
    </w:p>
    <w:tbl>
      <w:tblPr>
        <w:tblW w:w="9360" w:type="dxa"/>
        <w:tblLayout w:type="fixed"/>
        <w:tblLook w:val="04A0" w:firstRow="1" w:lastRow="0" w:firstColumn="1" w:lastColumn="0" w:noHBand="0" w:noVBand="1"/>
      </w:tblPr>
      <w:tblGrid>
        <w:gridCol w:w="1402"/>
        <w:gridCol w:w="997"/>
        <w:gridCol w:w="1293"/>
        <w:gridCol w:w="1290"/>
        <w:gridCol w:w="1226"/>
        <w:gridCol w:w="1163"/>
        <w:gridCol w:w="1115"/>
        <w:gridCol w:w="874"/>
      </w:tblGrid>
      <w:tr w:rsidR="003B2681" w:rsidRPr="003B2681" w14:paraId="368CC420" w14:textId="77777777" w:rsidTr="00EB33AC">
        <w:trPr>
          <w:trHeight w:val="290"/>
        </w:trPr>
        <w:tc>
          <w:tcPr>
            <w:tcW w:w="9360" w:type="dxa"/>
            <w:gridSpan w:val="8"/>
            <w:tcBorders>
              <w:top w:val="nil"/>
              <w:left w:val="nil"/>
              <w:bottom w:val="nil"/>
              <w:right w:val="nil"/>
            </w:tcBorders>
            <w:shd w:val="clear" w:color="auto" w:fill="auto"/>
            <w:noWrap/>
            <w:vAlign w:val="center"/>
            <w:hideMark/>
          </w:tcPr>
          <w:p w14:paraId="3D6A6AB7" w14:textId="77777777" w:rsidR="003B2681" w:rsidRPr="003B2681" w:rsidRDefault="003B2681" w:rsidP="003B2681">
            <w:pPr>
              <w:spacing w:after="0" w:line="240" w:lineRule="auto"/>
              <w:jc w:val="center"/>
              <w:rPr>
                <w:rFonts w:eastAsia="Times New Roman"/>
                <w:b/>
                <w:bCs/>
                <w:sz w:val="20"/>
                <w:szCs w:val="20"/>
                <w:lang w:val="en-CA" w:eastAsia="en-CA"/>
              </w:rPr>
            </w:pPr>
            <w:r w:rsidRPr="003B2681">
              <w:rPr>
                <w:rFonts w:eastAsia="Times New Roman"/>
                <w:b/>
                <w:bCs/>
                <w:sz w:val="20"/>
                <w:szCs w:val="20"/>
                <w:lang w:val="en-CA" w:eastAsia="en-CA"/>
              </w:rPr>
              <w:lastRenderedPageBreak/>
              <w:t>Entity 4 : Regional Service District 1</w:t>
            </w:r>
          </w:p>
        </w:tc>
      </w:tr>
      <w:tr w:rsidR="003B2681" w:rsidRPr="003B2681" w14:paraId="2ABE1A18" w14:textId="77777777" w:rsidTr="00EB33AC">
        <w:trPr>
          <w:trHeight w:val="1050"/>
        </w:trPr>
        <w:tc>
          <w:tcPr>
            <w:tcW w:w="1402" w:type="dxa"/>
            <w:tcBorders>
              <w:top w:val="nil"/>
              <w:left w:val="nil"/>
              <w:bottom w:val="nil"/>
              <w:right w:val="nil"/>
            </w:tcBorders>
            <w:shd w:val="clear" w:color="4472C4" w:fill="4472C4"/>
            <w:vAlign w:val="center"/>
            <w:hideMark/>
          </w:tcPr>
          <w:p w14:paraId="514CCAB4"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Communities</w:t>
            </w:r>
          </w:p>
        </w:tc>
        <w:tc>
          <w:tcPr>
            <w:tcW w:w="997" w:type="dxa"/>
            <w:tcBorders>
              <w:top w:val="nil"/>
              <w:left w:val="single" w:sz="4" w:space="0" w:color="FFFFFF"/>
              <w:bottom w:val="nil"/>
              <w:right w:val="nil"/>
            </w:tcBorders>
            <w:shd w:val="clear" w:color="4472C4" w:fill="4472C4"/>
            <w:vAlign w:val="center"/>
            <w:hideMark/>
          </w:tcPr>
          <w:p w14:paraId="0A093562"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Entity Type</w:t>
            </w:r>
          </w:p>
        </w:tc>
        <w:tc>
          <w:tcPr>
            <w:tcW w:w="1293" w:type="dxa"/>
            <w:tcBorders>
              <w:top w:val="nil"/>
              <w:left w:val="single" w:sz="4" w:space="0" w:color="FFFFFF"/>
              <w:bottom w:val="nil"/>
              <w:right w:val="nil"/>
            </w:tcBorders>
            <w:shd w:val="clear" w:color="4472C4" w:fill="4472C4"/>
            <w:vAlign w:val="center"/>
            <w:hideMark/>
          </w:tcPr>
          <w:p w14:paraId="1E51A9D9"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 xml:space="preserve">2020 Residential Property Assessment </w:t>
            </w:r>
          </w:p>
        </w:tc>
        <w:tc>
          <w:tcPr>
            <w:tcW w:w="1290" w:type="dxa"/>
            <w:tcBorders>
              <w:top w:val="nil"/>
              <w:left w:val="single" w:sz="4" w:space="0" w:color="FFFFFF"/>
              <w:bottom w:val="nil"/>
              <w:right w:val="nil"/>
            </w:tcBorders>
            <w:shd w:val="clear" w:color="4472C4" w:fill="4472C4"/>
            <w:vAlign w:val="center"/>
            <w:hideMark/>
          </w:tcPr>
          <w:p w14:paraId="3DEDBAFB"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2020 Non-Residential Property Assessment</w:t>
            </w:r>
          </w:p>
        </w:tc>
        <w:tc>
          <w:tcPr>
            <w:tcW w:w="1226" w:type="dxa"/>
            <w:tcBorders>
              <w:top w:val="nil"/>
              <w:left w:val="single" w:sz="4" w:space="0" w:color="FFFFFF"/>
              <w:bottom w:val="nil"/>
              <w:right w:val="nil"/>
            </w:tcBorders>
            <w:shd w:val="clear" w:color="4472C4" w:fill="4472C4"/>
            <w:vAlign w:val="center"/>
            <w:hideMark/>
          </w:tcPr>
          <w:p w14:paraId="642AFE28"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2020 Total Assessment Base</w:t>
            </w:r>
          </w:p>
        </w:tc>
        <w:tc>
          <w:tcPr>
            <w:tcW w:w="1163" w:type="dxa"/>
            <w:tcBorders>
              <w:top w:val="nil"/>
              <w:left w:val="single" w:sz="4" w:space="0" w:color="FFFFFF"/>
              <w:bottom w:val="nil"/>
              <w:right w:val="nil"/>
            </w:tcBorders>
            <w:shd w:val="clear" w:color="4472C4" w:fill="4472C4"/>
            <w:vAlign w:val="center"/>
            <w:hideMark/>
          </w:tcPr>
          <w:p w14:paraId="60652F9A" w14:textId="7C5526A9"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Population 2016</w:t>
            </w:r>
          </w:p>
        </w:tc>
        <w:tc>
          <w:tcPr>
            <w:tcW w:w="1115" w:type="dxa"/>
            <w:tcBorders>
              <w:top w:val="nil"/>
              <w:left w:val="single" w:sz="4" w:space="0" w:color="FFFFFF"/>
              <w:bottom w:val="nil"/>
              <w:right w:val="nil"/>
            </w:tcBorders>
            <w:shd w:val="clear" w:color="4472C4" w:fill="4472C4"/>
            <w:vAlign w:val="center"/>
            <w:hideMark/>
          </w:tcPr>
          <w:p w14:paraId="24E01671"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Population 2011</w:t>
            </w:r>
          </w:p>
        </w:tc>
        <w:tc>
          <w:tcPr>
            <w:tcW w:w="874" w:type="dxa"/>
            <w:tcBorders>
              <w:top w:val="nil"/>
              <w:left w:val="single" w:sz="4" w:space="0" w:color="FFFFFF"/>
              <w:bottom w:val="nil"/>
              <w:right w:val="nil"/>
            </w:tcBorders>
            <w:shd w:val="clear" w:color="4472C4" w:fill="4472C4"/>
            <w:vAlign w:val="center"/>
            <w:hideMark/>
          </w:tcPr>
          <w:p w14:paraId="43C9AB51" w14:textId="77777777" w:rsidR="003B2681" w:rsidRPr="003B2681" w:rsidRDefault="003B2681" w:rsidP="003B2681">
            <w:pPr>
              <w:spacing w:after="0" w:line="240" w:lineRule="auto"/>
              <w:jc w:val="center"/>
              <w:rPr>
                <w:rFonts w:eastAsia="Times New Roman"/>
                <w:b/>
                <w:bCs/>
                <w:color w:val="000000"/>
                <w:sz w:val="20"/>
                <w:szCs w:val="20"/>
                <w:lang w:val="en-CA" w:eastAsia="en-CA"/>
              </w:rPr>
            </w:pPr>
            <w:r w:rsidRPr="003B2681">
              <w:rPr>
                <w:rFonts w:eastAsia="Times New Roman"/>
                <w:b/>
                <w:bCs/>
                <w:color w:val="000000"/>
                <w:sz w:val="20"/>
                <w:szCs w:val="20"/>
                <w:lang w:val="en-CA" w:eastAsia="en-CA"/>
              </w:rPr>
              <w:t>% Change</w:t>
            </w:r>
          </w:p>
        </w:tc>
      </w:tr>
      <w:tr w:rsidR="003B2681" w:rsidRPr="003B2681" w14:paraId="6BC05817" w14:textId="77777777" w:rsidTr="00EB33AC">
        <w:trPr>
          <w:trHeight w:val="300"/>
        </w:trPr>
        <w:tc>
          <w:tcPr>
            <w:tcW w:w="1402" w:type="dxa"/>
            <w:tcBorders>
              <w:top w:val="single" w:sz="12" w:space="0" w:color="FFFFFF"/>
              <w:left w:val="nil"/>
              <w:bottom w:val="nil"/>
              <w:right w:val="nil"/>
            </w:tcBorders>
            <w:shd w:val="clear" w:color="B4C6E7" w:fill="B4C6E7"/>
            <w:noWrap/>
            <w:vAlign w:val="bottom"/>
            <w:hideMark/>
          </w:tcPr>
          <w:p w14:paraId="59FBD220"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Grand Falls</w:t>
            </w:r>
          </w:p>
        </w:tc>
        <w:tc>
          <w:tcPr>
            <w:tcW w:w="997" w:type="dxa"/>
            <w:tcBorders>
              <w:top w:val="single" w:sz="12" w:space="0" w:color="FFFFFF"/>
              <w:left w:val="single" w:sz="4" w:space="0" w:color="FFFFFF"/>
              <w:bottom w:val="nil"/>
              <w:right w:val="nil"/>
            </w:tcBorders>
            <w:shd w:val="clear" w:color="B4C6E7" w:fill="B4C6E7"/>
            <w:noWrap/>
            <w:vAlign w:val="bottom"/>
            <w:hideMark/>
          </w:tcPr>
          <w:p w14:paraId="2CB8F370"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Town</w:t>
            </w:r>
          </w:p>
        </w:tc>
        <w:tc>
          <w:tcPr>
            <w:tcW w:w="1293" w:type="dxa"/>
            <w:tcBorders>
              <w:top w:val="single" w:sz="12" w:space="0" w:color="FFFFFF"/>
              <w:left w:val="single" w:sz="4" w:space="0" w:color="FFFFFF"/>
              <w:bottom w:val="nil"/>
              <w:right w:val="nil"/>
            </w:tcBorders>
            <w:shd w:val="clear" w:color="B4C6E7" w:fill="B4C6E7"/>
            <w:noWrap/>
            <w:hideMark/>
          </w:tcPr>
          <w:p w14:paraId="4E5FD30C"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$355,852,100</w:t>
            </w:r>
          </w:p>
        </w:tc>
        <w:tc>
          <w:tcPr>
            <w:tcW w:w="1290" w:type="dxa"/>
            <w:tcBorders>
              <w:top w:val="single" w:sz="12" w:space="0" w:color="FFFFFF"/>
              <w:left w:val="single" w:sz="4" w:space="0" w:color="FFFFFF"/>
              <w:bottom w:val="nil"/>
              <w:right w:val="nil"/>
            </w:tcBorders>
            <w:shd w:val="clear" w:color="B4C6E7" w:fill="B4C6E7"/>
            <w:noWrap/>
            <w:hideMark/>
          </w:tcPr>
          <w:p w14:paraId="4D305883"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$117,102,700</w:t>
            </w:r>
          </w:p>
        </w:tc>
        <w:tc>
          <w:tcPr>
            <w:tcW w:w="1226" w:type="dxa"/>
            <w:tcBorders>
              <w:top w:val="single" w:sz="12" w:space="0" w:color="FFFFFF"/>
              <w:left w:val="single" w:sz="4" w:space="0" w:color="FFFFFF"/>
              <w:bottom w:val="nil"/>
              <w:right w:val="nil"/>
            </w:tcBorders>
            <w:shd w:val="clear" w:color="B4C6E7" w:fill="B4C6E7"/>
            <w:noWrap/>
            <w:vAlign w:val="bottom"/>
            <w:hideMark/>
          </w:tcPr>
          <w:p w14:paraId="52C07BAC"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$472,954,800</w:t>
            </w:r>
          </w:p>
        </w:tc>
        <w:tc>
          <w:tcPr>
            <w:tcW w:w="1163" w:type="dxa"/>
            <w:tcBorders>
              <w:top w:val="single" w:sz="12" w:space="0" w:color="FFFFFF"/>
              <w:left w:val="single" w:sz="4" w:space="0" w:color="FFFFFF"/>
              <w:bottom w:val="nil"/>
              <w:right w:val="nil"/>
            </w:tcBorders>
            <w:shd w:val="clear" w:color="B4C6E7" w:fill="B4C6E7"/>
            <w:noWrap/>
            <w:vAlign w:val="bottom"/>
            <w:hideMark/>
          </w:tcPr>
          <w:p w14:paraId="3D554668"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5326</w:t>
            </w:r>
          </w:p>
        </w:tc>
        <w:tc>
          <w:tcPr>
            <w:tcW w:w="1115" w:type="dxa"/>
            <w:tcBorders>
              <w:top w:val="single" w:sz="12" w:space="0" w:color="FFFFFF"/>
              <w:left w:val="single" w:sz="4" w:space="0" w:color="FFFFFF"/>
              <w:bottom w:val="nil"/>
              <w:right w:val="nil"/>
            </w:tcBorders>
            <w:shd w:val="clear" w:color="B4C6E7" w:fill="B4C6E7"/>
            <w:noWrap/>
            <w:vAlign w:val="bottom"/>
            <w:hideMark/>
          </w:tcPr>
          <w:p w14:paraId="0B7AE438"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5706</w:t>
            </w:r>
          </w:p>
        </w:tc>
        <w:tc>
          <w:tcPr>
            <w:tcW w:w="874" w:type="dxa"/>
            <w:tcBorders>
              <w:top w:val="single" w:sz="12" w:space="0" w:color="FFFFFF"/>
              <w:left w:val="single" w:sz="4" w:space="0" w:color="FFFFFF"/>
              <w:bottom w:val="nil"/>
              <w:right w:val="nil"/>
            </w:tcBorders>
            <w:shd w:val="clear" w:color="B4C6E7" w:fill="B4C6E7"/>
            <w:noWrap/>
            <w:vAlign w:val="bottom"/>
            <w:hideMark/>
          </w:tcPr>
          <w:p w14:paraId="0491E30F"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-6.66%</w:t>
            </w:r>
          </w:p>
        </w:tc>
      </w:tr>
      <w:tr w:rsidR="003B2681" w:rsidRPr="003B2681" w14:paraId="77936BFD" w14:textId="77777777" w:rsidTr="00EB33AC">
        <w:trPr>
          <w:trHeight w:val="290"/>
        </w:trPr>
        <w:tc>
          <w:tcPr>
            <w:tcW w:w="1402" w:type="dxa"/>
            <w:tcBorders>
              <w:top w:val="single" w:sz="4" w:space="0" w:color="FFFFFF"/>
              <w:left w:val="nil"/>
              <w:bottom w:val="nil"/>
              <w:right w:val="nil"/>
            </w:tcBorders>
            <w:shd w:val="clear" w:color="D9E1F2" w:fill="D9E1F2"/>
            <w:noWrap/>
            <w:vAlign w:val="bottom"/>
            <w:hideMark/>
          </w:tcPr>
          <w:p w14:paraId="4D00598C"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Saint-André</w:t>
            </w:r>
          </w:p>
        </w:tc>
        <w:tc>
          <w:tcPr>
            <w:tcW w:w="997" w:type="dxa"/>
            <w:tcBorders>
              <w:top w:val="single" w:sz="4" w:space="0" w:color="FFFFFF"/>
              <w:left w:val="single" w:sz="4" w:space="0" w:color="FFFFFF"/>
              <w:bottom w:val="nil"/>
              <w:right w:val="nil"/>
            </w:tcBorders>
            <w:shd w:val="clear" w:color="D9E1F2" w:fill="D9E1F2"/>
            <w:noWrap/>
            <w:vAlign w:val="bottom"/>
            <w:hideMark/>
          </w:tcPr>
          <w:p w14:paraId="21783EFB"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Rural Community</w:t>
            </w:r>
          </w:p>
        </w:tc>
        <w:tc>
          <w:tcPr>
            <w:tcW w:w="1293" w:type="dxa"/>
            <w:tcBorders>
              <w:top w:val="single" w:sz="4" w:space="0" w:color="FFFFFF"/>
              <w:left w:val="single" w:sz="4" w:space="0" w:color="FFFFFF"/>
              <w:bottom w:val="nil"/>
              <w:right w:val="nil"/>
            </w:tcBorders>
            <w:shd w:val="clear" w:color="D9E1F2" w:fill="D9E1F2"/>
            <w:noWrap/>
            <w:vAlign w:val="bottom"/>
            <w:hideMark/>
          </w:tcPr>
          <w:p w14:paraId="1D14E4F9"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$125,815,000</w:t>
            </w:r>
          </w:p>
        </w:tc>
        <w:tc>
          <w:tcPr>
            <w:tcW w:w="1290" w:type="dxa"/>
            <w:tcBorders>
              <w:top w:val="single" w:sz="4" w:space="0" w:color="FFFFFF"/>
              <w:left w:val="single" w:sz="4" w:space="0" w:color="FFFFFF"/>
              <w:bottom w:val="nil"/>
              <w:right w:val="nil"/>
            </w:tcBorders>
            <w:shd w:val="clear" w:color="D9E1F2" w:fill="D9E1F2"/>
            <w:noWrap/>
            <w:vAlign w:val="bottom"/>
            <w:hideMark/>
          </w:tcPr>
          <w:p w14:paraId="45A0EA5D"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$42,108,900</w:t>
            </w:r>
          </w:p>
        </w:tc>
        <w:tc>
          <w:tcPr>
            <w:tcW w:w="1226" w:type="dxa"/>
            <w:tcBorders>
              <w:top w:val="single" w:sz="4" w:space="0" w:color="FFFFFF"/>
              <w:left w:val="single" w:sz="4" w:space="0" w:color="FFFFFF"/>
              <w:bottom w:val="nil"/>
              <w:right w:val="nil"/>
            </w:tcBorders>
            <w:shd w:val="clear" w:color="D9E1F2" w:fill="D9E1F2"/>
            <w:noWrap/>
            <w:vAlign w:val="bottom"/>
            <w:hideMark/>
          </w:tcPr>
          <w:p w14:paraId="494BDDAF"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$167,923,900</w:t>
            </w:r>
          </w:p>
        </w:tc>
        <w:tc>
          <w:tcPr>
            <w:tcW w:w="1163" w:type="dxa"/>
            <w:tcBorders>
              <w:top w:val="single" w:sz="4" w:space="0" w:color="FFFFFF"/>
              <w:left w:val="single" w:sz="4" w:space="0" w:color="FFFFFF"/>
              <w:bottom w:val="nil"/>
              <w:right w:val="nil"/>
            </w:tcBorders>
            <w:shd w:val="clear" w:color="D9E1F2" w:fill="D9E1F2"/>
            <w:noWrap/>
            <w:vAlign w:val="bottom"/>
            <w:hideMark/>
          </w:tcPr>
          <w:p w14:paraId="7E844BA0"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772</w:t>
            </w:r>
          </w:p>
        </w:tc>
        <w:tc>
          <w:tcPr>
            <w:tcW w:w="1115" w:type="dxa"/>
            <w:tcBorders>
              <w:top w:val="single" w:sz="4" w:space="0" w:color="FFFFFF"/>
              <w:left w:val="single" w:sz="4" w:space="0" w:color="FFFFFF"/>
              <w:bottom w:val="nil"/>
              <w:right w:val="nil"/>
            </w:tcBorders>
            <w:shd w:val="clear" w:color="D9E1F2" w:fill="D9E1F2"/>
            <w:noWrap/>
            <w:vAlign w:val="bottom"/>
            <w:hideMark/>
          </w:tcPr>
          <w:p w14:paraId="34563D26"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819</w:t>
            </w:r>
          </w:p>
        </w:tc>
        <w:tc>
          <w:tcPr>
            <w:tcW w:w="874" w:type="dxa"/>
            <w:tcBorders>
              <w:top w:val="single" w:sz="4" w:space="0" w:color="FFFFFF"/>
              <w:left w:val="single" w:sz="4" w:space="0" w:color="FFFFFF"/>
              <w:bottom w:val="nil"/>
              <w:right w:val="nil"/>
            </w:tcBorders>
            <w:shd w:val="clear" w:color="D9E1F2" w:fill="D9E1F2"/>
            <w:noWrap/>
            <w:vAlign w:val="bottom"/>
            <w:hideMark/>
          </w:tcPr>
          <w:p w14:paraId="6B74B6BD"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-5.74%</w:t>
            </w:r>
          </w:p>
        </w:tc>
      </w:tr>
      <w:tr w:rsidR="003B2681" w:rsidRPr="003B2681" w14:paraId="2C6DF65C" w14:textId="77777777" w:rsidTr="00EB33AC">
        <w:trPr>
          <w:trHeight w:val="290"/>
        </w:trPr>
        <w:tc>
          <w:tcPr>
            <w:tcW w:w="1402" w:type="dxa"/>
            <w:tcBorders>
              <w:top w:val="single" w:sz="4" w:space="0" w:color="FFFFFF"/>
              <w:left w:val="nil"/>
              <w:bottom w:val="nil"/>
              <w:right w:val="nil"/>
            </w:tcBorders>
            <w:shd w:val="clear" w:color="B4C6E7" w:fill="B4C6E7"/>
            <w:noWrap/>
            <w:vAlign w:val="bottom"/>
            <w:hideMark/>
          </w:tcPr>
          <w:p w14:paraId="6DA2C883"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Drummond</w:t>
            </w:r>
          </w:p>
        </w:tc>
        <w:tc>
          <w:tcPr>
            <w:tcW w:w="997" w:type="dxa"/>
            <w:tcBorders>
              <w:top w:val="single" w:sz="4" w:space="0" w:color="FFFFFF"/>
              <w:left w:val="single" w:sz="4" w:space="0" w:color="FFFFFF"/>
              <w:bottom w:val="nil"/>
              <w:right w:val="nil"/>
            </w:tcBorders>
            <w:shd w:val="clear" w:color="B4C6E7" w:fill="B4C6E7"/>
            <w:noWrap/>
            <w:vAlign w:val="bottom"/>
            <w:hideMark/>
          </w:tcPr>
          <w:p w14:paraId="18F33052"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Village</w:t>
            </w:r>
          </w:p>
        </w:tc>
        <w:tc>
          <w:tcPr>
            <w:tcW w:w="1293" w:type="dxa"/>
            <w:tcBorders>
              <w:top w:val="single" w:sz="4" w:space="0" w:color="FFFFFF"/>
              <w:left w:val="single" w:sz="4" w:space="0" w:color="FFFFFF"/>
              <w:bottom w:val="nil"/>
              <w:right w:val="nil"/>
            </w:tcBorders>
            <w:shd w:val="clear" w:color="B4C6E7" w:fill="B4C6E7"/>
            <w:noWrap/>
            <w:hideMark/>
          </w:tcPr>
          <w:p w14:paraId="44916E77"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$49,947,300</w:t>
            </w:r>
          </w:p>
        </w:tc>
        <w:tc>
          <w:tcPr>
            <w:tcW w:w="1290" w:type="dxa"/>
            <w:tcBorders>
              <w:top w:val="single" w:sz="4" w:space="0" w:color="FFFFFF"/>
              <w:left w:val="single" w:sz="4" w:space="0" w:color="FFFFFF"/>
              <w:bottom w:val="nil"/>
              <w:right w:val="nil"/>
            </w:tcBorders>
            <w:shd w:val="clear" w:color="B4C6E7" w:fill="B4C6E7"/>
            <w:noWrap/>
            <w:hideMark/>
          </w:tcPr>
          <w:p w14:paraId="1A47994F"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$3,302,300</w:t>
            </w:r>
          </w:p>
        </w:tc>
        <w:tc>
          <w:tcPr>
            <w:tcW w:w="1226" w:type="dxa"/>
            <w:tcBorders>
              <w:top w:val="single" w:sz="4" w:space="0" w:color="FFFFFF"/>
              <w:left w:val="single" w:sz="4" w:space="0" w:color="FFFFFF"/>
              <w:bottom w:val="nil"/>
              <w:right w:val="nil"/>
            </w:tcBorders>
            <w:shd w:val="clear" w:color="B4C6E7" w:fill="B4C6E7"/>
            <w:noWrap/>
            <w:vAlign w:val="bottom"/>
            <w:hideMark/>
          </w:tcPr>
          <w:p w14:paraId="47D12984"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$53,249,600</w:t>
            </w:r>
          </w:p>
        </w:tc>
        <w:tc>
          <w:tcPr>
            <w:tcW w:w="1163" w:type="dxa"/>
            <w:tcBorders>
              <w:top w:val="single" w:sz="4" w:space="0" w:color="FFFFFF"/>
              <w:left w:val="single" w:sz="4" w:space="0" w:color="FFFFFF"/>
              <w:bottom w:val="nil"/>
              <w:right w:val="nil"/>
            </w:tcBorders>
            <w:shd w:val="clear" w:color="B4C6E7" w:fill="B4C6E7"/>
            <w:noWrap/>
            <w:vAlign w:val="bottom"/>
            <w:hideMark/>
          </w:tcPr>
          <w:p w14:paraId="3E32812C"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737</w:t>
            </w:r>
          </w:p>
        </w:tc>
        <w:tc>
          <w:tcPr>
            <w:tcW w:w="1115" w:type="dxa"/>
            <w:tcBorders>
              <w:top w:val="single" w:sz="4" w:space="0" w:color="FFFFFF"/>
              <w:left w:val="single" w:sz="4" w:space="0" w:color="FFFFFF"/>
              <w:bottom w:val="nil"/>
              <w:right w:val="nil"/>
            </w:tcBorders>
            <w:shd w:val="clear" w:color="B4C6E7" w:fill="B4C6E7"/>
            <w:noWrap/>
            <w:vAlign w:val="bottom"/>
            <w:hideMark/>
          </w:tcPr>
          <w:p w14:paraId="3292551E"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775</w:t>
            </w:r>
          </w:p>
        </w:tc>
        <w:tc>
          <w:tcPr>
            <w:tcW w:w="874" w:type="dxa"/>
            <w:tcBorders>
              <w:top w:val="single" w:sz="4" w:space="0" w:color="FFFFFF"/>
              <w:left w:val="single" w:sz="4" w:space="0" w:color="FFFFFF"/>
              <w:bottom w:val="nil"/>
              <w:right w:val="nil"/>
            </w:tcBorders>
            <w:shd w:val="clear" w:color="B4C6E7" w:fill="B4C6E7"/>
            <w:noWrap/>
            <w:vAlign w:val="bottom"/>
            <w:hideMark/>
          </w:tcPr>
          <w:p w14:paraId="32D83B76"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-4.90%</w:t>
            </w:r>
          </w:p>
        </w:tc>
      </w:tr>
      <w:tr w:rsidR="003B2681" w:rsidRPr="003B2681" w14:paraId="7A6637A4" w14:textId="77777777" w:rsidTr="00EB33AC">
        <w:trPr>
          <w:trHeight w:val="290"/>
        </w:trPr>
        <w:tc>
          <w:tcPr>
            <w:tcW w:w="1402" w:type="dxa"/>
            <w:tcBorders>
              <w:top w:val="single" w:sz="4" w:space="0" w:color="FFFFFF"/>
              <w:left w:val="nil"/>
              <w:bottom w:val="nil"/>
              <w:right w:val="nil"/>
            </w:tcBorders>
            <w:shd w:val="clear" w:color="D9E1F2" w:fill="D9E1F2"/>
            <w:noWrap/>
            <w:vAlign w:val="bottom"/>
            <w:hideMark/>
          </w:tcPr>
          <w:p w14:paraId="1190EEC2"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Drummond</w:t>
            </w:r>
          </w:p>
        </w:tc>
        <w:tc>
          <w:tcPr>
            <w:tcW w:w="997" w:type="dxa"/>
            <w:tcBorders>
              <w:top w:val="single" w:sz="4" w:space="0" w:color="FFFFFF"/>
              <w:left w:val="single" w:sz="4" w:space="0" w:color="FFFFFF"/>
              <w:bottom w:val="nil"/>
              <w:right w:val="nil"/>
            </w:tcBorders>
            <w:shd w:val="clear" w:color="D9E1F2" w:fill="D9E1F2"/>
            <w:noWrap/>
            <w:vAlign w:val="bottom"/>
            <w:hideMark/>
          </w:tcPr>
          <w:p w14:paraId="002438F6" w14:textId="77777777" w:rsidR="003B2681" w:rsidRPr="003B2681" w:rsidRDefault="003B2681" w:rsidP="003B2681">
            <w:pPr>
              <w:spacing w:after="0" w:line="240" w:lineRule="auto"/>
              <w:rPr>
                <w:rFonts w:eastAsia="Times New Roman"/>
                <w:color w:val="000000"/>
                <w:sz w:val="16"/>
                <w:szCs w:val="16"/>
                <w:lang w:val="en-CA" w:eastAsia="en-CA"/>
              </w:rPr>
            </w:pPr>
            <w:r w:rsidRPr="003B2681">
              <w:rPr>
                <w:rFonts w:eastAsia="Times New Roman"/>
                <w:color w:val="000000"/>
                <w:sz w:val="16"/>
                <w:szCs w:val="16"/>
                <w:lang w:val="en-CA" w:eastAsia="en-CA"/>
              </w:rPr>
              <w:t>LSD</w:t>
            </w:r>
          </w:p>
        </w:tc>
        <w:tc>
          <w:tcPr>
            <w:tcW w:w="1293" w:type="dxa"/>
            <w:tcBorders>
              <w:top w:val="single" w:sz="4" w:space="0" w:color="FFFFFF"/>
              <w:left w:val="single" w:sz="4" w:space="0" w:color="FFFFFF"/>
              <w:bottom w:val="nil"/>
              <w:right w:val="nil"/>
            </w:tcBorders>
            <w:shd w:val="clear" w:color="D9E1F2" w:fill="D9E1F2"/>
            <w:vAlign w:val="center"/>
            <w:hideMark/>
          </w:tcPr>
          <w:p w14:paraId="08A9D67D"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$173,402,700</w:t>
            </w:r>
          </w:p>
        </w:tc>
        <w:tc>
          <w:tcPr>
            <w:tcW w:w="1290" w:type="dxa"/>
            <w:tcBorders>
              <w:top w:val="single" w:sz="4" w:space="0" w:color="FFFFFF"/>
              <w:left w:val="single" w:sz="4" w:space="0" w:color="FFFFFF"/>
              <w:bottom w:val="nil"/>
              <w:right w:val="nil"/>
            </w:tcBorders>
            <w:shd w:val="clear" w:color="D9E1F2" w:fill="D9E1F2"/>
            <w:vAlign w:val="center"/>
            <w:hideMark/>
          </w:tcPr>
          <w:p w14:paraId="769637D3"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$3,183,800</w:t>
            </w:r>
          </w:p>
        </w:tc>
        <w:tc>
          <w:tcPr>
            <w:tcW w:w="1226" w:type="dxa"/>
            <w:tcBorders>
              <w:top w:val="single" w:sz="4" w:space="0" w:color="FFFFFF"/>
              <w:left w:val="single" w:sz="4" w:space="0" w:color="FFFFFF"/>
              <w:bottom w:val="nil"/>
              <w:right w:val="nil"/>
            </w:tcBorders>
            <w:shd w:val="clear" w:color="D9E1F2" w:fill="D9E1F2"/>
            <w:noWrap/>
            <w:vAlign w:val="bottom"/>
            <w:hideMark/>
          </w:tcPr>
          <w:p w14:paraId="7BE88DA1"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$176,586,500</w:t>
            </w:r>
          </w:p>
        </w:tc>
        <w:tc>
          <w:tcPr>
            <w:tcW w:w="1163" w:type="dxa"/>
            <w:tcBorders>
              <w:top w:val="single" w:sz="4" w:space="0" w:color="FFFFFF"/>
              <w:left w:val="single" w:sz="4" w:space="0" w:color="FFFFFF"/>
              <w:bottom w:val="nil"/>
              <w:right w:val="nil"/>
            </w:tcBorders>
            <w:shd w:val="clear" w:color="D9E1F2" w:fill="D9E1F2"/>
            <w:noWrap/>
            <w:vAlign w:val="bottom"/>
            <w:hideMark/>
          </w:tcPr>
          <w:p w14:paraId="238E5173"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2157</w:t>
            </w:r>
          </w:p>
        </w:tc>
        <w:tc>
          <w:tcPr>
            <w:tcW w:w="1115" w:type="dxa"/>
            <w:tcBorders>
              <w:top w:val="single" w:sz="4" w:space="0" w:color="FFFFFF"/>
              <w:left w:val="single" w:sz="4" w:space="0" w:color="FFFFFF"/>
              <w:bottom w:val="nil"/>
              <w:right w:val="nil"/>
            </w:tcBorders>
            <w:shd w:val="clear" w:color="D9E1F2" w:fill="D9E1F2"/>
            <w:noWrap/>
            <w:vAlign w:val="bottom"/>
            <w:hideMark/>
          </w:tcPr>
          <w:p w14:paraId="25D77B46"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2250</w:t>
            </w:r>
          </w:p>
        </w:tc>
        <w:tc>
          <w:tcPr>
            <w:tcW w:w="874" w:type="dxa"/>
            <w:tcBorders>
              <w:top w:val="single" w:sz="4" w:space="0" w:color="FFFFFF"/>
              <w:left w:val="single" w:sz="4" w:space="0" w:color="FFFFFF"/>
              <w:bottom w:val="nil"/>
              <w:right w:val="nil"/>
            </w:tcBorders>
            <w:shd w:val="clear" w:color="D9E1F2" w:fill="D9E1F2"/>
            <w:noWrap/>
            <w:vAlign w:val="bottom"/>
            <w:hideMark/>
          </w:tcPr>
          <w:p w14:paraId="56A105BE"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-4.13%</w:t>
            </w:r>
          </w:p>
        </w:tc>
      </w:tr>
      <w:tr w:rsidR="003B2681" w:rsidRPr="003B2681" w14:paraId="4D5246F1" w14:textId="77777777" w:rsidTr="00EB33AC">
        <w:trPr>
          <w:trHeight w:val="290"/>
        </w:trPr>
        <w:tc>
          <w:tcPr>
            <w:tcW w:w="1402" w:type="dxa"/>
            <w:tcBorders>
              <w:top w:val="single" w:sz="4" w:space="0" w:color="FFFFFF"/>
              <w:left w:val="nil"/>
              <w:bottom w:val="nil"/>
              <w:right w:val="nil"/>
            </w:tcBorders>
            <w:shd w:val="clear" w:color="B4C6E7" w:fill="B4C6E7"/>
            <w:noWrap/>
            <w:vAlign w:val="bottom"/>
            <w:hideMark/>
          </w:tcPr>
          <w:p w14:paraId="3E7184D1"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Totals</w:t>
            </w:r>
          </w:p>
        </w:tc>
        <w:tc>
          <w:tcPr>
            <w:tcW w:w="997" w:type="dxa"/>
            <w:tcBorders>
              <w:top w:val="single" w:sz="4" w:space="0" w:color="FFFFFF"/>
              <w:left w:val="single" w:sz="4" w:space="0" w:color="FFFFFF"/>
              <w:bottom w:val="nil"/>
              <w:right w:val="nil"/>
            </w:tcBorders>
            <w:shd w:val="clear" w:color="B4C6E7" w:fill="B4C6E7"/>
            <w:noWrap/>
            <w:vAlign w:val="bottom"/>
            <w:hideMark/>
          </w:tcPr>
          <w:p w14:paraId="240111AE"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 </w:t>
            </w:r>
          </w:p>
        </w:tc>
        <w:tc>
          <w:tcPr>
            <w:tcW w:w="1293" w:type="dxa"/>
            <w:tcBorders>
              <w:top w:val="single" w:sz="4" w:space="0" w:color="FFFFFF"/>
              <w:left w:val="single" w:sz="4" w:space="0" w:color="FFFFFF"/>
              <w:bottom w:val="nil"/>
              <w:right w:val="nil"/>
            </w:tcBorders>
            <w:shd w:val="clear" w:color="B4C6E7" w:fill="B4C6E7"/>
            <w:noWrap/>
            <w:hideMark/>
          </w:tcPr>
          <w:p w14:paraId="58100C30"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$705,017,100</w:t>
            </w:r>
          </w:p>
        </w:tc>
        <w:tc>
          <w:tcPr>
            <w:tcW w:w="1290" w:type="dxa"/>
            <w:tcBorders>
              <w:top w:val="single" w:sz="4" w:space="0" w:color="FFFFFF"/>
              <w:left w:val="single" w:sz="4" w:space="0" w:color="FFFFFF"/>
              <w:bottom w:val="nil"/>
              <w:right w:val="nil"/>
            </w:tcBorders>
            <w:shd w:val="clear" w:color="B4C6E7" w:fill="B4C6E7"/>
            <w:noWrap/>
            <w:hideMark/>
          </w:tcPr>
          <w:p w14:paraId="7AB06E51"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$165,697,700</w:t>
            </w:r>
          </w:p>
        </w:tc>
        <w:tc>
          <w:tcPr>
            <w:tcW w:w="1226" w:type="dxa"/>
            <w:tcBorders>
              <w:top w:val="single" w:sz="4" w:space="0" w:color="FFFFFF"/>
              <w:left w:val="single" w:sz="4" w:space="0" w:color="FFFFFF"/>
              <w:bottom w:val="nil"/>
              <w:right w:val="nil"/>
            </w:tcBorders>
            <w:shd w:val="clear" w:color="B4C6E7" w:fill="B4C6E7"/>
            <w:noWrap/>
            <w:vAlign w:val="bottom"/>
            <w:hideMark/>
          </w:tcPr>
          <w:p w14:paraId="5D85144F"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$870,714,800</w:t>
            </w:r>
          </w:p>
        </w:tc>
        <w:tc>
          <w:tcPr>
            <w:tcW w:w="1163" w:type="dxa"/>
            <w:tcBorders>
              <w:top w:val="single" w:sz="4" w:space="0" w:color="FFFFFF"/>
              <w:left w:val="single" w:sz="4" w:space="0" w:color="FFFFFF"/>
              <w:bottom w:val="nil"/>
              <w:right w:val="nil"/>
            </w:tcBorders>
            <w:shd w:val="clear" w:color="B4C6E7" w:fill="B4C6E7"/>
            <w:noWrap/>
            <w:vAlign w:val="bottom"/>
            <w:hideMark/>
          </w:tcPr>
          <w:p w14:paraId="5568F057"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8992</w:t>
            </w:r>
          </w:p>
        </w:tc>
        <w:tc>
          <w:tcPr>
            <w:tcW w:w="1115" w:type="dxa"/>
            <w:tcBorders>
              <w:top w:val="single" w:sz="4" w:space="0" w:color="FFFFFF"/>
              <w:left w:val="single" w:sz="4" w:space="0" w:color="FFFFFF"/>
              <w:bottom w:val="nil"/>
              <w:right w:val="nil"/>
            </w:tcBorders>
            <w:shd w:val="clear" w:color="B4C6E7" w:fill="B4C6E7"/>
            <w:noWrap/>
            <w:vAlign w:val="bottom"/>
            <w:hideMark/>
          </w:tcPr>
          <w:p w14:paraId="35D92B0C"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9550</w:t>
            </w:r>
          </w:p>
        </w:tc>
        <w:tc>
          <w:tcPr>
            <w:tcW w:w="874" w:type="dxa"/>
            <w:tcBorders>
              <w:top w:val="single" w:sz="4" w:space="0" w:color="FFFFFF"/>
              <w:left w:val="single" w:sz="4" w:space="0" w:color="FFFFFF"/>
              <w:bottom w:val="nil"/>
              <w:right w:val="nil"/>
            </w:tcBorders>
            <w:shd w:val="clear" w:color="B4C6E7" w:fill="B4C6E7"/>
            <w:noWrap/>
            <w:vAlign w:val="bottom"/>
            <w:hideMark/>
          </w:tcPr>
          <w:p w14:paraId="67554559" w14:textId="77777777" w:rsidR="003B2681" w:rsidRPr="003B2681" w:rsidRDefault="003B2681" w:rsidP="003B2681">
            <w:pPr>
              <w:spacing w:after="0" w:line="240" w:lineRule="auto"/>
              <w:jc w:val="right"/>
              <w:rPr>
                <w:rFonts w:eastAsia="Times New Roman"/>
                <w:color w:val="000000"/>
                <w:sz w:val="16"/>
                <w:szCs w:val="16"/>
                <w:lang w:val="en-CA" w:eastAsia="en-CA"/>
              </w:rPr>
            </w:pPr>
            <w:r w:rsidRPr="003B2681">
              <w:rPr>
                <w:rFonts w:eastAsia="Times New Roman"/>
                <w:color w:val="000000"/>
                <w:sz w:val="16"/>
                <w:szCs w:val="16"/>
                <w:lang w:val="en-CA" w:eastAsia="en-CA"/>
              </w:rPr>
              <w:t>-5.84%</w:t>
            </w:r>
          </w:p>
        </w:tc>
      </w:tr>
    </w:tbl>
    <w:p w14:paraId="2C0925F5" w14:textId="3EA59B9D" w:rsidR="47626E9A" w:rsidRPr="00E16335" w:rsidRDefault="47626E9A" w:rsidP="00E16335"/>
    <w:sectPr w:rsidR="47626E9A" w:rsidRPr="00E16335">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2937A" w14:textId="77777777" w:rsidR="00483098" w:rsidRDefault="00483098" w:rsidP="00533253">
      <w:pPr>
        <w:spacing w:after="0" w:line="240" w:lineRule="auto"/>
      </w:pPr>
      <w:r>
        <w:separator/>
      </w:r>
    </w:p>
  </w:endnote>
  <w:endnote w:type="continuationSeparator" w:id="0">
    <w:p w14:paraId="0BC35B2F" w14:textId="77777777" w:rsidR="00483098" w:rsidRDefault="00483098" w:rsidP="0053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1436EE" w14:textId="77777777" w:rsidR="00483098" w:rsidRDefault="00483098" w:rsidP="00533253">
      <w:pPr>
        <w:spacing w:after="0" w:line="240" w:lineRule="auto"/>
      </w:pPr>
      <w:r>
        <w:separator/>
      </w:r>
    </w:p>
  </w:footnote>
  <w:footnote w:type="continuationSeparator" w:id="0">
    <w:p w14:paraId="0349C0FA" w14:textId="77777777" w:rsidR="00483098" w:rsidRDefault="00483098" w:rsidP="00533253">
      <w:pPr>
        <w:spacing w:after="0" w:line="240" w:lineRule="auto"/>
      </w:pPr>
      <w:r>
        <w:continuationSeparator/>
      </w:r>
    </w:p>
  </w:footnote>
  <w:footnote w:id="1">
    <w:p w14:paraId="48912EC8" w14:textId="4BD53EC8" w:rsidR="00226288" w:rsidRDefault="00226288" w:rsidP="249DB127">
      <w:pPr>
        <w:pStyle w:val="FootnoteText"/>
        <w:rPr>
          <w:rFonts w:ascii="Times New Roman" w:hAnsi="Times New Roman" w:cs="Times New Roman"/>
        </w:rPr>
      </w:pPr>
      <w:r w:rsidRPr="249DB127">
        <w:rPr>
          <w:rStyle w:val="FootnoteReference"/>
          <w:rFonts w:ascii="Times New Roman" w:hAnsi="Times New Roman" w:cs="Times New Roman"/>
        </w:rPr>
        <w:footnoteRef/>
      </w:r>
      <w:r w:rsidRPr="249DB127">
        <w:rPr>
          <w:rFonts w:ascii="Times New Roman" w:hAnsi="Times New Roman" w:cs="Times New Roman"/>
        </w:rPr>
        <w:t xml:space="preserve"> Finn, 1</w:t>
      </w:r>
      <w:r w:rsidR="00234790">
        <w:rPr>
          <w:rFonts w:ascii="Times New Roman" w:hAnsi="Times New Roman" w:cs="Times New Roman"/>
        </w:rPr>
        <w:t>1</w:t>
      </w:r>
      <w:r w:rsidRPr="249DB127">
        <w:rPr>
          <w:rFonts w:ascii="Times New Roman" w:hAnsi="Times New Roman" w:cs="Times New Roman"/>
        </w:rPr>
        <w:t>1.</w:t>
      </w:r>
    </w:p>
  </w:footnote>
  <w:footnote w:id="2">
    <w:p w14:paraId="04BC7F95" w14:textId="77777777" w:rsidR="00226288" w:rsidRDefault="00226288" w:rsidP="249DB127">
      <w:pPr>
        <w:pStyle w:val="FootnoteText"/>
      </w:pPr>
      <w:r w:rsidRPr="249DB127">
        <w:rPr>
          <w:rStyle w:val="FootnoteReference"/>
        </w:rPr>
        <w:footnoteRef/>
      </w:r>
      <w:r>
        <w:t xml:space="preserve"> Finn, 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985C4" w14:textId="21637191" w:rsidR="00497B75" w:rsidRDefault="00497B75">
    <w:pPr>
      <w:pStyle w:val="Header"/>
    </w:pPr>
    <w:r>
      <w:rPr>
        <w:noProof/>
        <w:lang w:val="en-CA" w:eastAsia="en-CA"/>
      </w:rPr>
      <w:drawing>
        <wp:anchor distT="0" distB="0" distL="114300" distR="114300" simplePos="0" relativeHeight="251658240" behindDoc="0" locked="0" layoutInCell="1" allowOverlap="1" wp14:anchorId="7F089C1E" wp14:editId="79426435">
          <wp:simplePos x="0" y="0"/>
          <wp:positionH relativeFrom="margin">
            <wp:posOffset>0</wp:posOffset>
          </wp:positionH>
          <wp:positionV relativeFrom="paragraph">
            <wp:posOffset>-457200</wp:posOffset>
          </wp:positionV>
          <wp:extent cx="5943600" cy="873760"/>
          <wp:effectExtent l="0" t="0" r="0" b="2540"/>
          <wp:wrapThrough wrapText="bothSides">
            <wp:wrapPolygon edited="0">
              <wp:start x="0" y="0"/>
              <wp:lineTo x="0" y="21192"/>
              <wp:lineTo x="21531" y="21192"/>
              <wp:lineTo x="21531" y="0"/>
              <wp:lineTo x="0" y="0"/>
            </wp:wrapPolygon>
          </wp:wrapThrough>
          <wp:docPr id="2" name="Picture 2"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0" cy="87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30778"/>
    <w:multiLevelType w:val="hybridMultilevel"/>
    <w:tmpl w:val="62500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40C7B"/>
    <w:multiLevelType w:val="hybridMultilevel"/>
    <w:tmpl w:val="0650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36E5B"/>
    <w:multiLevelType w:val="hybridMultilevel"/>
    <w:tmpl w:val="4490A9C6"/>
    <w:lvl w:ilvl="0" w:tplc="FFFFFFFF">
      <w:start w:val="4"/>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9E0DE8"/>
    <w:multiLevelType w:val="hybridMultilevel"/>
    <w:tmpl w:val="FFFFFFFF"/>
    <w:lvl w:ilvl="0" w:tplc="77186112">
      <w:start w:val="4"/>
      <w:numFmt w:val="upperRoman"/>
      <w:lvlText w:val="%1."/>
      <w:lvlJc w:val="right"/>
      <w:pPr>
        <w:ind w:left="720" w:hanging="360"/>
      </w:pPr>
    </w:lvl>
    <w:lvl w:ilvl="1" w:tplc="6CC6855C">
      <w:start w:val="1"/>
      <w:numFmt w:val="lowerLetter"/>
      <w:lvlText w:val="%2."/>
      <w:lvlJc w:val="left"/>
      <w:pPr>
        <w:ind w:left="1440" w:hanging="360"/>
      </w:pPr>
    </w:lvl>
    <w:lvl w:ilvl="2" w:tplc="9B66144E">
      <w:start w:val="1"/>
      <w:numFmt w:val="lowerRoman"/>
      <w:lvlText w:val="%3."/>
      <w:lvlJc w:val="right"/>
      <w:pPr>
        <w:ind w:left="2160" w:hanging="180"/>
      </w:pPr>
    </w:lvl>
    <w:lvl w:ilvl="3" w:tplc="61BA71E6">
      <w:start w:val="1"/>
      <w:numFmt w:val="decimal"/>
      <w:lvlText w:val="%4."/>
      <w:lvlJc w:val="left"/>
      <w:pPr>
        <w:ind w:left="2880" w:hanging="360"/>
      </w:pPr>
    </w:lvl>
    <w:lvl w:ilvl="4" w:tplc="2752ED40">
      <w:start w:val="1"/>
      <w:numFmt w:val="lowerLetter"/>
      <w:lvlText w:val="%5."/>
      <w:lvlJc w:val="left"/>
      <w:pPr>
        <w:ind w:left="3600" w:hanging="360"/>
      </w:pPr>
    </w:lvl>
    <w:lvl w:ilvl="5" w:tplc="4FEC8AA2">
      <w:start w:val="1"/>
      <w:numFmt w:val="lowerRoman"/>
      <w:lvlText w:val="%6."/>
      <w:lvlJc w:val="right"/>
      <w:pPr>
        <w:ind w:left="4320" w:hanging="180"/>
      </w:pPr>
    </w:lvl>
    <w:lvl w:ilvl="6" w:tplc="CC0ED76A">
      <w:start w:val="1"/>
      <w:numFmt w:val="decimal"/>
      <w:lvlText w:val="%7."/>
      <w:lvlJc w:val="left"/>
      <w:pPr>
        <w:ind w:left="5040" w:hanging="360"/>
      </w:pPr>
    </w:lvl>
    <w:lvl w:ilvl="7" w:tplc="B0D204A8">
      <w:start w:val="1"/>
      <w:numFmt w:val="lowerLetter"/>
      <w:lvlText w:val="%8."/>
      <w:lvlJc w:val="left"/>
      <w:pPr>
        <w:ind w:left="5760" w:hanging="360"/>
      </w:pPr>
    </w:lvl>
    <w:lvl w:ilvl="8" w:tplc="E36EA08A">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activeWritingStyle w:appName="MSWord" w:lang="en-US" w:vendorID="64" w:dllVersion="6" w:nlCheck="1" w:checkStyle="0"/>
  <w:activeWritingStyle w:appName="MSWord" w:lang="en-CA" w:vendorID="64" w:dllVersion="6" w:nlCheck="1" w:checkStyle="0"/>
  <w:activeWritingStyle w:appName="MSWord" w:lang="en-US" w:vendorID="64" w:dllVersion="0" w:nlCheck="1" w:checkStyle="0"/>
  <w:activeWritingStyle w:appName="MSWord" w:lang="en-CA" w:vendorID="64" w:dllVersion="0" w:nlCheck="1" w:checkStyle="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FE2"/>
    <w:rsid w:val="00011EC1"/>
    <w:rsid w:val="000238B0"/>
    <w:rsid w:val="000259AF"/>
    <w:rsid w:val="00025F29"/>
    <w:rsid w:val="00031BC5"/>
    <w:rsid w:val="000356BA"/>
    <w:rsid w:val="000361EA"/>
    <w:rsid w:val="0004189C"/>
    <w:rsid w:val="00050419"/>
    <w:rsid w:val="00061B5D"/>
    <w:rsid w:val="0006709B"/>
    <w:rsid w:val="0007121F"/>
    <w:rsid w:val="000726CD"/>
    <w:rsid w:val="00081AC4"/>
    <w:rsid w:val="0009529B"/>
    <w:rsid w:val="000A372D"/>
    <w:rsid w:val="000A4D7C"/>
    <w:rsid w:val="000A6251"/>
    <w:rsid w:val="000A66D1"/>
    <w:rsid w:val="000B3B59"/>
    <w:rsid w:val="000B543A"/>
    <w:rsid w:val="000C0824"/>
    <w:rsid w:val="000C30F7"/>
    <w:rsid w:val="000D0C37"/>
    <w:rsid w:val="000D539E"/>
    <w:rsid w:val="000E0371"/>
    <w:rsid w:val="000E4373"/>
    <w:rsid w:val="000F7938"/>
    <w:rsid w:val="0010084F"/>
    <w:rsid w:val="001010F7"/>
    <w:rsid w:val="0010753B"/>
    <w:rsid w:val="001120C5"/>
    <w:rsid w:val="0012393A"/>
    <w:rsid w:val="001333B6"/>
    <w:rsid w:val="0013553C"/>
    <w:rsid w:val="001434FE"/>
    <w:rsid w:val="00144572"/>
    <w:rsid w:val="001561E2"/>
    <w:rsid w:val="00156AEF"/>
    <w:rsid w:val="00156C57"/>
    <w:rsid w:val="001618D5"/>
    <w:rsid w:val="00163993"/>
    <w:rsid w:val="00164C08"/>
    <w:rsid w:val="00165F9F"/>
    <w:rsid w:val="001713C5"/>
    <w:rsid w:val="00182F1D"/>
    <w:rsid w:val="00191519"/>
    <w:rsid w:val="00195492"/>
    <w:rsid w:val="00195880"/>
    <w:rsid w:val="001961F9"/>
    <w:rsid w:val="001A0135"/>
    <w:rsid w:val="001A4616"/>
    <w:rsid w:val="001B1F44"/>
    <w:rsid w:val="001B5F75"/>
    <w:rsid w:val="001C2040"/>
    <w:rsid w:val="001C359A"/>
    <w:rsid w:val="001C6ECC"/>
    <w:rsid w:val="001D00C9"/>
    <w:rsid w:val="001E0593"/>
    <w:rsid w:val="001E309E"/>
    <w:rsid w:val="001F35C3"/>
    <w:rsid w:val="001F57F4"/>
    <w:rsid w:val="001F6F3C"/>
    <w:rsid w:val="001F7C93"/>
    <w:rsid w:val="00200EE0"/>
    <w:rsid w:val="002025E6"/>
    <w:rsid w:val="00203CFE"/>
    <w:rsid w:val="00205CFB"/>
    <w:rsid w:val="002120AC"/>
    <w:rsid w:val="0021316D"/>
    <w:rsid w:val="002131AC"/>
    <w:rsid w:val="00214405"/>
    <w:rsid w:val="00215178"/>
    <w:rsid w:val="00217691"/>
    <w:rsid w:val="00224499"/>
    <w:rsid w:val="00226288"/>
    <w:rsid w:val="002271ED"/>
    <w:rsid w:val="002325B6"/>
    <w:rsid w:val="0023283B"/>
    <w:rsid w:val="00234790"/>
    <w:rsid w:val="00234A56"/>
    <w:rsid w:val="00242CFD"/>
    <w:rsid w:val="00246CF0"/>
    <w:rsid w:val="00253ACE"/>
    <w:rsid w:val="00255EFF"/>
    <w:rsid w:val="00263EA3"/>
    <w:rsid w:val="0027002D"/>
    <w:rsid w:val="00273118"/>
    <w:rsid w:val="00275F78"/>
    <w:rsid w:val="002821E2"/>
    <w:rsid w:val="0028389A"/>
    <w:rsid w:val="00283BAC"/>
    <w:rsid w:val="0028792A"/>
    <w:rsid w:val="00291052"/>
    <w:rsid w:val="00291F0B"/>
    <w:rsid w:val="00293FAE"/>
    <w:rsid w:val="00296040"/>
    <w:rsid w:val="002C3552"/>
    <w:rsid w:val="002D4526"/>
    <w:rsid w:val="002E0EF6"/>
    <w:rsid w:val="002F2119"/>
    <w:rsid w:val="002F42D3"/>
    <w:rsid w:val="002F6043"/>
    <w:rsid w:val="002F62E8"/>
    <w:rsid w:val="002F6FA4"/>
    <w:rsid w:val="003011C3"/>
    <w:rsid w:val="0030415E"/>
    <w:rsid w:val="00307880"/>
    <w:rsid w:val="00313389"/>
    <w:rsid w:val="003152BF"/>
    <w:rsid w:val="00317DEF"/>
    <w:rsid w:val="003219CB"/>
    <w:rsid w:val="0032204E"/>
    <w:rsid w:val="0032259E"/>
    <w:rsid w:val="00326D5B"/>
    <w:rsid w:val="00331342"/>
    <w:rsid w:val="00333276"/>
    <w:rsid w:val="003368FD"/>
    <w:rsid w:val="00340E57"/>
    <w:rsid w:val="00342506"/>
    <w:rsid w:val="00343F5F"/>
    <w:rsid w:val="00344A46"/>
    <w:rsid w:val="003459DA"/>
    <w:rsid w:val="00351F4C"/>
    <w:rsid w:val="00354F92"/>
    <w:rsid w:val="00365826"/>
    <w:rsid w:val="00365E92"/>
    <w:rsid w:val="0036789A"/>
    <w:rsid w:val="0038365B"/>
    <w:rsid w:val="00386C93"/>
    <w:rsid w:val="00390976"/>
    <w:rsid w:val="003975CE"/>
    <w:rsid w:val="003A431A"/>
    <w:rsid w:val="003A4C02"/>
    <w:rsid w:val="003B18DC"/>
    <w:rsid w:val="003B1FCD"/>
    <w:rsid w:val="003B2681"/>
    <w:rsid w:val="003B3F3D"/>
    <w:rsid w:val="003B448F"/>
    <w:rsid w:val="003D3F4B"/>
    <w:rsid w:val="003E381F"/>
    <w:rsid w:val="003E41B8"/>
    <w:rsid w:val="00400690"/>
    <w:rsid w:val="00410A7C"/>
    <w:rsid w:val="004139D8"/>
    <w:rsid w:val="00413C87"/>
    <w:rsid w:val="00416A76"/>
    <w:rsid w:val="00417737"/>
    <w:rsid w:val="00417F02"/>
    <w:rsid w:val="00420653"/>
    <w:rsid w:val="00420F19"/>
    <w:rsid w:val="00426356"/>
    <w:rsid w:val="00431ACD"/>
    <w:rsid w:val="00433159"/>
    <w:rsid w:val="004357F8"/>
    <w:rsid w:val="004358AB"/>
    <w:rsid w:val="00436353"/>
    <w:rsid w:val="00441FE2"/>
    <w:rsid w:val="004443C2"/>
    <w:rsid w:val="00447790"/>
    <w:rsid w:val="0045117A"/>
    <w:rsid w:val="00452AB5"/>
    <w:rsid w:val="00456C6D"/>
    <w:rsid w:val="004570D0"/>
    <w:rsid w:val="004576A5"/>
    <w:rsid w:val="0047091C"/>
    <w:rsid w:val="004711F9"/>
    <w:rsid w:val="0047285E"/>
    <w:rsid w:val="004803CE"/>
    <w:rsid w:val="00482DBE"/>
    <w:rsid w:val="00483098"/>
    <w:rsid w:val="004832BE"/>
    <w:rsid w:val="00492DEB"/>
    <w:rsid w:val="00495F46"/>
    <w:rsid w:val="00497B75"/>
    <w:rsid w:val="004B0C32"/>
    <w:rsid w:val="004B618F"/>
    <w:rsid w:val="004C36B5"/>
    <w:rsid w:val="004C7794"/>
    <w:rsid w:val="004D2B1B"/>
    <w:rsid w:val="004D3EFB"/>
    <w:rsid w:val="004D50FF"/>
    <w:rsid w:val="004D57D8"/>
    <w:rsid w:val="004E778B"/>
    <w:rsid w:val="004F155E"/>
    <w:rsid w:val="004F18A7"/>
    <w:rsid w:val="004F45C5"/>
    <w:rsid w:val="004F7378"/>
    <w:rsid w:val="00503E48"/>
    <w:rsid w:val="00510189"/>
    <w:rsid w:val="005238F9"/>
    <w:rsid w:val="00525B4A"/>
    <w:rsid w:val="005262CC"/>
    <w:rsid w:val="00526874"/>
    <w:rsid w:val="00533253"/>
    <w:rsid w:val="005335FD"/>
    <w:rsid w:val="005336CE"/>
    <w:rsid w:val="00536AD2"/>
    <w:rsid w:val="00540C77"/>
    <w:rsid w:val="00542F95"/>
    <w:rsid w:val="00544386"/>
    <w:rsid w:val="00552C7D"/>
    <w:rsid w:val="00553C6E"/>
    <w:rsid w:val="00555D12"/>
    <w:rsid w:val="00560445"/>
    <w:rsid w:val="00563626"/>
    <w:rsid w:val="005724E0"/>
    <w:rsid w:val="00576659"/>
    <w:rsid w:val="0058123A"/>
    <w:rsid w:val="0058723C"/>
    <w:rsid w:val="00587D02"/>
    <w:rsid w:val="00593BF0"/>
    <w:rsid w:val="00594F35"/>
    <w:rsid w:val="005A2167"/>
    <w:rsid w:val="005A324E"/>
    <w:rsid w:val="005B0633"/>
    <w:rsid w:val="005B0918"/>
    <w:rsid w:val="005B1A0B"/>
    <w:rsid w:val="005C104F"/>
    <w:rsid w:val="005C78EF"/>
    <w:rsid w:val="005C799D"/>
    <w:rsid w:val="005E30D1"/>
    <w:rsid w:val="005E55E4"/>
    <w:rsid w:val="005F096A"/>
    <w:rsid w:val="005F24A5"/>
    <w:rsid w:val="005F4057"/>
    <w:rsid w:val="006000FF"/>
    <w:rsid w:val="0060390E"/>
    <w:rsid w:val="006040A2"/>
    <w:rsid w:val="00610721"/>
    <w:rsid w:val="00612EFD"/>
    <w:rsid w:val="00624FDC"/>
    <w:rsid w:val="00626347"/>
    <w:rsid w:val="00631D13"/>
    <w:rsid w:val="006406FC"/>
    <w:rsid w:val="00641FCF"/>
    <w:rsid w:val="006437C2"/>
    <w:rsid w:val="0064540C"/>
    <w:rsid w:val="006551B6"/>
    <w:rsid w:val="006635AB"/>
    <w:rsid w:val="006666D0"/>
    <w:rsid w:val="00670E6D"/>
    <w:rsid w:val="00671D38"/>
    <w:rsid w:val="006732BD"/>
    <w:rsid w:val="006736F1"/>
    <w:rsid w:val="00673A59"/>
    <w:rsid w:val="00675291"/>
    <w:rsid w:val="00677F07"/>
    <w:rsid w:val="00680EEB"/>
    <w:rsid w:val="00681B61"/>
    <w:rsid w:val="00681C2B"/>
    <w:rsid w:val="00681F3B"/>
    <w:rsid w:val="00693E2B"/>
    <w:rsid w:val="00697AEA"/>
    <w:rsid w:val="006C719D"/>
    <w:rsid w:val="006D6A15"/>
    <w:rsid w:val="006E13F5"/>
    <w:rsid w:val="006E18B2"/>
    <w:rsid w:val="006F1B6E"/>
    <w:rsid w:val="006F202E"/>
    <w:rsid w:val="006F51A6"/>
    <w:rsid w:val="006F5401"/>
    <w:rsid w:val="00705490"/>
    <w:rsid w:val="00714BE0"/>
    <w:rsid w:val="00715B3D"/>
    <w:rsid w:val="007218E7"/>
    <w:rsid w:val="00722628"/>
    <w:rsid w:val="00722C51"/>
    <w:rsid w:val="0072646B"/>
    <w:rsid w:val="007266D3"/>
    <w:rsid w:val="00733139"/>
    <w:rsid w:val="00737C46"/>
    <w:rsid w:val="007540B3"/>
    <w:rsid w:val="0075617E"/>
    <w:rsid w:val="00756739"/>
    <w:rsid w:val="00761CCB"/>
    <w:rsid w:val="00764C4E"/>
    <w:rsid w:val="00765957"/>
    <w:rsid w:val="00767704"/>
    <w:rsid w:val="00770EF9"/>
    <w:rsid w:val="00774628"/>
    <w:rsid w:val="007767E0"/>
    <w:rsid w:val="00784B4D"/>
    <w:rsid w:val="007864C8"/>
    <w:rsid w:val="007870B9"/>
    <w:rsid w:val="0079085C"/>
    <w:rsid w:val="00790F0F"/>
    <w:rsid w:val="007A6BD4"/>
    <w:rsid w:val="007C1C58"/>
    <w:rsid w:val="007C3850"/>
    <w:rsid w:val="007C3C5E"/>
    <w:rsid w:val="007D145D"/>
    <w:rsid w:val="007E0F92"/>
    <w:rsid w:val="007E140A"/>
    <w:rsid w:val="007E5CE4"/>
    <w:rsid w:val="007E744A"/>
    <w:rsid w:val="007F07B0"/>
    <w:rsid w:val="007F0D36"/>
    <w:rsid w:val="007F5DC8"/>
    <w:rsid w:val="007F666E"/>
    <w:rsid w:val="0080158C"/>
    <w:rsid w:val="00803E89"/>
    <w:rsid w:val="00812B97"/>
    <w:rsid w:val="008145C6"/>
    <w:rsid w:val="00821215"/>
    <w:rsid w:val="0082125B"/>
    <w:rsid w:val="00826FF4"/>
    <w:rsid w:val="00834815"/>
    <w:rsid w:val="00835E77"/>
    <w:rsid w:val="00837DB4"/>
    <w:rsid w:val="00840403"/>
    <w:rsid w:val="00840AD4"/>
    <w:rsid w:val="00842249"/>
    <w:rsid w:val="00852005"/>
    <w:rsid w:val="00853E3A"/>
    <w:rsid w:val="00855D67"/>
    <w:rsid w:val="00856FB8"/>
    <w:rsid w:val="0086227A"/>
    <w:rsid w:val="00862A5B"/>
    <w:rsid w:val="00872051"/>
    <w:rsid w:val="00876569"/>
    <w:rsid w:val="00877A83"/>
    <w:rsid w:val="00880DC2"/>
    <w:rsid w:val="00886CC5"/>
    <w:rsid w:val="00890F6D"/>
    <w:rsid w:val="0089636A"/>
    <w:rsid w:val="008963E5"/>
    <w:rsid w:val="008A1EA6"/>
    <w:rsid w:val="008A3666"/>
    <w:rsid w:val="008A3772"/>
    <w:rsid w:val="008B3CB3"/>
    <w:rsid w:val="008C082C"/>
    <w:rsid w:val="008C5776"/>
    <w:rsid w:val="008C5E9C"/>
    <w:rsid w:val="008D28FC"/>
    <w:rsid w:val="008D4F96"/>
    <w:rsid w:val="008D5897"/>
    <w:rsid w:val="008D69C8"/>
    <w:rsid w:val="008D7001"/>
    <w:rsid w:val="008E30F8"/>
    <w:rsid w:val="008E5BF4"/>
    <w:rsid w:val="008E6830"/>
    <w:rsid w:val="008F3D10"/>
    <w:rsid w:val="0090316A"/>
    <w:rsid w:val="009106B0"/>
    <w:rsid w:val="00910DAD"/>
    <w:rsid w:val="009113A3"/>
    <w:rsid w:val="00914776"/>
    <w:rsid w:val="00915C3C"/>
    <w:rsid w:val="00916094"/>
    <w:rsid w:val="00930141"/>
    <w:rsid w:val="00937062"/>
    <w:rsid w:val="0094032D"/>
    <w:rsid w:val="009407F0"/>
    <w:rsid w:val="009534A1"/>
    <w:rsid w:val="00964426"/>
    <w:rsid w:val="00973562"/>
    <w:rsid w:val="00975BA7"/>
    <w:rsid w:val="00986C0D"/>
    <w:rsid w:val="00993AFC"/>
    <w:rsid w:val="009A2CEB"/>
    <w:rsid w:val="009A3B95"/>
    <w:rsid w:val="009A458A"/>
    <w:rsid w:val="009A54EE"/>
    <w:rsid w:val="009A6210"/>
    <w:rsid w:val="009B1567"/>
    <w:rsid w:val="009B353D"/>
    <w:rsid w:val="009C3F94"/>
    <w:rsid w:val="009C400F"/>
    <w:rsid w:val="009C5A8A"/>
    <w:rsid w:val="009C610A"/>
    <w:rsid w:val="009D3B76"/>
    <w:rsid w:val="009E008A"/>
    <w:rsid w:val="009E0814"/>
    <w:rsid w:val="009E1870"/>
    <w:rsid w:val="009E27E2"/>
    <w:rsid w:val="009E282B"/>
    <w:rsid w:val="009E34FE"/>
    <w:rsid w:val="00A00C83"/>
    <w:rsid w:val="00A02383"/>
    <w:rsid w:val="00A03051"/>
    <w:rsid w:val="00A04221"/>
    <w:rsid w:val="00A10201"/>
    <w:rsid w:val="00A20D5A"/>
    <w:rsid w:val="00A25514"/>
    <w:rsid w:val="00A26BCF"/>
    <w:rsid w:val="00A36538"/>
    <w:rsid w:val="00A41E32"/>
    <w:rsid w:val="00A45579"/>
    <w:rsid w:val="00A47131"/>
    <w:rsid w:val="00A47308"/>
    <w:rsid w:val="00A622F8"/>
    <w:rsid w:val="00A65366"/>
    <w:rsid w:val="00A656D7"/>
    <w:rsid w:val="00A66519"/>
    <w:rsid w:val="00A76976"/>
    <w:rsid w:val="00A8263D"/>
    <w:rsid w:val="00A835ED"/>
    <w:rsid w:val="00A9184B"/>
    <w:rsid w:val="00A92519"/>
    <w:rsid w:val="00AA1DDD"/>
    <w:rsid w:val="00AA5A47"/>
    <w:rsid w:val="00AB64B7"/>
    <w:rsid w:val="00AC341A"/>
    <w:rsid w:val="00AC5DB2"/>
    <w:rsid w:val="00AD3E70"/>
    <w:rsid w:val="00AD6300"/>
    <w:rsid w:val="00AE1691"/>
    <w:rsid w:val="00AE3796"/>
    <w:rsid w:val="00AE3CB9"/>
    <w:rsid w:val="00AF35D4"/>
    <w:rsid w:val="00AF6180"/>
    <w:rsid w:val="00B00DE4"/>
    <w:rsid w:val="00B04E40"/>
    <w:rsid w:val="00B04E8A"/>
    <w:rsid w:val="00B06644"/>
    <w:rsid w:val="00B125F3"/>
    <w:rsid w:val="00B2583B"/>
    <w:rsid w:val="00B27530"/>
    <w:rsid w:val="00B34A7B"/>
    <w:rsid w:val="00B3507E"/>
    <w:rsid w:val="00B51104"/>
    <w:rsid w:val="00B53197"/>
    <w:rsid w:val="00B53E52"/>
    <w:rsid w:val="00B57FE0"/>
    <w:rsid w:val="00B61A5B"/>
    <w:rsid w:val="00B6278E"/>
    <w:rsid w:val="00B628B5"/>
    <w:rsid w:val="00B72F6F"/>
    <w:rsid w:val="00B76662"/>
    <w:rsid w:val="00B86345"/>
    <w:rsid w:val="00B8661E"/>
    <w:rsid w:val="00B87C75"/>
    <w:rsid w:val="00B9087E"/>
    <w:rsid w:val="00B908A9"/>
    <w:rsid w:val="00B94F9A"/>
    <w:rsid w:val="00B95616"/>
    <w:rsid w:val="00BA10DF"/>
    <w:rsid w:val="00BA1272"/>
    <w:rsid w:val="00BA185C"/>
    <w:rsid w:val="00BA73EA"/>
    <w:rsid w:val="00BB3750"/>
    <w:rsid w:val="00BB70AE"/>
    <w:rsid w:val="00BC13F1"/>
    <w:rsid w:val="00BC277B"/>
    <w:rsid w:val="00BC359A"/>
    <w:rsid w:val="00BD1796"/>
    <w:rsid w:val="00BE1438"/>
    <w:rsid w:val="00BE3C41"/>
    <w:rsid w:val="00BE42B4"/>
    <w:rsid w:val="00BE43FB"/>
    <w:rsid w:val="00BE604A"/>
    <w:rsid w:val="00BF7E3F"/>
    <w:rsid w:val="00C06DB3"/>
    <w:rsid w:val="00C132BD"/>
    <w:rsid w:val="00C23179"/>
    <w:rsid w:val="00C23508"/>
    <w:rsid w:val="00C36321"/>
    <w:rsid w:val="00C36E11"/>
    <w:rsid w:val="00C401EC"/>
    <w:rsid w:val="00C50350"/>
    <w:rsid w:val="00C52D0C"/>
    <w:rsid w:val="00C65D8B"/>
    <w:rsid w:val="00C8586B"/>
    <w:rsid w:val="00C942CD"/>
    <w:rsid w:val="00CA3C0E"/>
    <w:rsid w:val="00CA5586"/>
    <w:rsid w:val="00CA7412"/>
    <w:rsid w:val="00CA77DD"/>
    <w:rsid w:val="00CB38DB"/>
    <w:rsid w:val="00CB62EA"/>
    <w:rsid w:val="00CB7EBF"/>
    <w:rsid w:val="00CC3095"/>
    <w:rsid w:val="00CC4CA8"/>
    <w:rsid w:val="00CD12F5"/>
    <w:rsid w:val="00CE7A05"/>
    <w:rsid w:val="00CF02AF"/>
    <w:rsid w:val="00CF1F1C"/>
    <w:rsid w:val="00D02067"/>
    <w:rsid w:val="00D03E8D"/>
    <w:rsid w:val="00D05172"/>
    <w:rsid w:val="00D06D5B"/>
    <w:rsid w:val="00D07BC3"/>
    <w:rsid w:val="00D17292"/>
    <w:rsid w:val="00D202EB"/>
    <w:rsid w:val="00D21261"/>
    <w:rsid w:val="00D2549C"/>
    <w:rsid w:val="00D27FE3"/>
    <w:rsid w:val="00D30B7F"/>
    <w:rsid w:val="00D31C6B"/>
    <w:rsid w:val="00D3691A"/>
    <w:rsid w:val="00D41B44"/>
    <w:rsid w:val="00D459CC"/>
    <w:rsid w:val="00D503EA"/>
    <w:rsid w:val="00D52E91"/>
    <w:rsid w:val="00D5651B"/>
    <w:rsid w:val="00D62F71"/>
    <w:rsid w:val="00D66F81"/>
    <w:rsid w:val="00D72EE0"/>
    <w:rsid w:val="00D746A4"/>
    <w:rsid w:val="00D74936"/>
    <w:rsid w:val="00D76F1D"/>
    <w:rsid w:val="00D804CC"/>
    <w:rsid w:val="00D87F73"/>
    <w:rsid w:val="00D93B90"/>
    <w:rsid w:val="00D94D4B"/>
    <w:rsid w:val="00D965E7"/>
    <w:rsid w:val="00DA57E7"/>
    <w:rsid w:val="00DA588C"/>
    <w:rsid w:val="00DA6D14"/>
    <w:rsid w:val="00DB11A2"/>
    <w:rsid w:val="00DB4886"/>
    <w:rsid w:val="00DC1D89"/>
    <w:rsid w:val="00DC3C74"/>
    <w:rsid w:val="00DC5957"/>
    <w:rsid w:val="00DD0ADF"/>
    <w:rsid w:val="00DD1922"/>
    <w:rsid w:val="00DD457E"/>
    <w:rsid w:val="00DD49DF"/>
    <w:rsid w:val="00DD6077"/>
    <w:rsid w:val="00DD6701"/>
    <w:rsid w:val="00DE2662"/>
    <w:rsid w:val="00DE4CF7"/>
    <w:rsid w:val="00DE71DC"/>
    <w:rsid w:val="00DF23A1"/>
    <w:rsid w:val="00DF39F7"/>
    <w:rsid w:val="00E0218D"/>
    <w:rsid w:val="00E1004A"/>
    <w:rsid w:val="00E16335"/>
    <w:rsid w:val="00E27097"/>
    <w:rsid w:val="00E308F4"/>
    <w:rsid w:val="00E30DC8"/>
    <w:rsid w:val="00E316AF"/>
    <w:rsid w:val="00E33A22"/>
    <w:rsid w:val="00E41114"/>
    <w:rsid w:val="00E41968"/>
    <w:rsid w:val="00E44DC0"/>
    <w:rsid w:val="00E55335"/>
    <w:rsid w:val="00E55D8B"/>
    <w:rsid w:val="00E5681A"/>
    <w:rsid w:val="00E6046B"/>
    <w:rsid w:val="00E638E0"/>
    <w:rsid w:val="00E64543"/>
    <w:rsid w:val="00EA7CDE"/>
    <w:rsid w:val="00EB0362"/>
    <w:rsid w:val="00EB33AC"/>
    <w:rsid w:val="00EC02C5"/>
    <w:rsid w:val="00EC452B"/>
    <w:rsid w:val="00EC71A3"/>
    <w:rsid w:val="00ED702F"/>
    <w:rsid w:val="00EE1061"/>
    <w:rsid w:val="00EE797B"/>
    <w:rsid w:val="00F0075E"/>
    <w:rsid w:val="00F06AB9"/>
    <w:rsid w:val="00F14576"/>
    <w:rsid w:val="00F14B01"/>
    <w:rsid w:val="00F32FFB"/>
    <w:rsid w:val="00F33C87"/>
    <w:rsid w:val="00F344C7"/>
    <w:rsid w:val="00F4188B"/>
    <w:rsid w:val="00F41ED4"/>
    <w:rsid w:val="00F43A14"/>
    <w:rsid w:val="00F44896"/>
    <w:rsid w:val="00F52FA7"/>
    <w:rsid w:val="00F534B9"/>
    <w:rsid w:val="00F567EC"/>
    <w:rsid w:val="00F601D1"/>
    <w:rsid w:val="00F622A7"/>
    <w:rsid w:val="00F63306"/>
    <w:rsid w:val="00F64E85"/>
    <w:rsid w:val="00F6557B"/>
    <w:rsid w:val="00F7126C"/>
    <w:rsid w:val="00F738DC"/>
    <w:rsid w:val="00F7536C"/>
    <w:rsid w:val="00F76586"/>
    <w:rsid w:val="00F77D1F"/>
    <w:rsid w:val="00F91D5B"/>
    <w:rsid w:val="00F91D75"/>
    <w:rsid w:val="00FA21A7"/>
    <w:rsid w:val="00FA4291"/>
    <w:rsid w:val="00FC404B"/>
    <w:rsid w:val="00FC47CF"/>
    <w:rsid w:val="00FC527C"/>
    <w:rsid w:val="00FC5436"/>
    <w:rsid w:val="00FC5FDF"/>
    <w:rsid w:val="00FD54A3"/>
    <w:rsid w:val="00FD597E"/>
    <w:rsid w:val="00FE344B"/>
    <w:rsid w:val="00FE6560"/>
    <w:rsid w:val="00FE7ED2"/>
    <w:rsid w:val="00FF076A"/>
    <w:rsid w:val="08B4B71E"/>
    <w:rsid w:val="249DB127"/>
    <w:rsid w:val="438E8491"/>
    <w:rsid w:val="47626E9A"/>
    <w:rsid w:val="524E733E"/>
    <w:rsid w:val="73755E9A"/>
    <w:rsid w:val="747E0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74978C"/>
  <w15:chartTrackingRefBased/>
  <w15:docId w15:val="{A72AEF27-246B-4413-B481-F0682487F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33253"/>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53325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533253"/>
    <w:rPr>
      <w:vertAlign w:val="superscript"/>
    </w:rPr>
  </w:style>
  <w:style w:type="paragraph" w:styleId="ListParagraph">
    <w:name w:val="List Paragraph"/>
    <w:basedOn w:val="Normal"/>
    <w:uiPriority w:val="34"/>
    <w:qFormat/>
    <w:rsid w:val="00A20D5A"/>
    <w:pPr>
      <w:ind w:left="720"/>
      <w:contextualSpacing/>
    </w:pPr>
  </w:style>
  <w:style w:type="paragraph" w:styleId="Header">
    <w:name w:val="header"/>
    <w:basedOn w:val="Normal"/>
    <w:link w:val="HeaderChar"/>
    <w:uiPriority w:val="99"/>
    <w:unhideWhenUsed/>
    <w:rsid w:val="00497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75"/>
  </w:style>
  <w:style w:type="paragraph" w:styleId="Footer">
    <w:name w:val="footer"/>
    <w:basedOn w:val="Normal"/>
    <w:link w:val="FooterChar"/>
    <w:uiPriority w:val="99"/>
    <w:unhideWhenUsed/>
    <w:rsid w:val="00497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7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PlainTable5">
    <w:name w:val="Plain Table 5"/>
    <w:basedOn w:val="TableNormal"/>
    <w:uiPriority w:val="45"/>
    <w:rsid w:val="002838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838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2838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838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631603">
      <w:bodyDiv w:val="1"/>
      <w:marLeft w:val="0"/>
      <w:marRight w:val="0"/>
      <w:marTop w:val="0"/>
      <w:marBottom w:val="0"/>
      <w:divBdr>
        <w:top w:val="none" w:sz="0" w:space="0" w:color="auto"/>
        <w:left w:val="none" w:sz="0" w:space="0" w:color="auto"/>
        <w:bottom w:val="none" w:sz="0" w:space="0" w:color="auto"/>
        <w:right w:val="none" w:sz="0" w:space="0" w:color="auto"/>
      </w:divBdr>
    </w:div>
    <w:div w:id="312611915">
      <w:bodyDiv w:val="1"/>
      <w:marLeft w:val="0"/>
      <w:marRight w:val="0"/>
      <w:marTop w:val="0"/>
      <w:marBottom w:val="0"/>
      <w:divBdr>
        <w:top w:val="none" w:sz="0" w:space="0" w:color="auto"/>
        <w:left w:val="none" w:sz="0" w:space="0" w:color="auto"/>
        <w:bottom w:val="none" w:sz="0" w:space="0" w:color="auto"/>
        <w:right w:val="none" w:sz="0" w:space="0" w:color="auto"/>
      </w:divBdr>
    </w:div>
    <w:div w:id="425004914">
      <w:bodyDiv w:val="1"/>
      <w:marLeft w:val="0"/>
      <w:marRight w:val="0"/>
      <w:marTop w:val="0"/>
      <w:marBottom w:val="0"/>
      <w:divBdr>
        <w:top w:val="none" w:sz="0" w:space="0" w:color="auto"/>
        <w:left w:val="none" w:sz="0" w:space="0" w:color="auto"/>
        <w:bottom w:val="none" w:sz="0" w:space="0" w:color="auto"/>
        <w:right w:val="none" w:sz="0" w:space="0" w:color="auto"/>
      </w:divBdr>
    </w:div>
    <w:div w:id="438069343">
      <w:bodyDiv w:val="1"/>
      <w:marLeft w:val="0"/>
      <w:marRight w:val="0"/>
      <w:marTop w:val="0"/>
      <w:marBottom w:val="0"/>
      <w:divBdr>
        <w:top w:val="none" w:sz="0" w:space="0" w:color="auto"/>
        <w:left w:val="none" w:sz="0" w:space="0" w:color="auto"/>
        <w:bottom w:val="none" w:sz="0" w:space="0" w:color="auto"/>
        <w:right w:val="none" w:sz="0" w:space="0" w:color="auto"/>
      </w:divBdr>
    </w:div>
    <w:div w:id="462043571">
      <w:bodyDiv w:val="1"/>
      <w:marLeft w:val="0"/>
      <w:marRight w:val="0"/>
      <w:marTop w:val="0"/>
      <w:marBottom w:val="0"/>
      <w:divBdr>
        <w:top w:val="none" w:sz="0" w:space="0" w:color="auto"/>
        <w:left w:val="none" w:sz="0" w:space="0" w:color="auto"/>
        <w:bottom w:val="none" w:sz="0" w:space="0" w:color="auto"/>
        <w:right w:val="none" w:sz="0" w:space="0" w:color="auto"/>
      </w:divBdr>
    </w:div>
    <w:div w:id="464781930">
      <w:bodyDiv w:val="1"/>
      <w:marLeft w:val="0"/>
      <w:marRight w:val="0"/>
      <w:marTop w:val="0"/>
      <w:marBottom w:val="0"/>
      <w:divBdr>
        <w:top w:val="none" w:sz="0" w:space="0" w:color="auto"/>
        <w:left w:val="none" w:sz="0" w:space="0" w:color="auto"/>
        <w:bottom w:val="none" w:sz="0" w:space="0" w:color="auto"/>
        <w:right w:val="none" w:sz="0" w:space="0" w:color="auto"/>
      </w:divBdr>
    </w:div>
    <w:div w:id="738942172">
      <w:bodyDiv w:val="1"/>
      <w:marLeft w:val="0"/>
      <w:marRight w:val="0"/>
      <w:marTop w:val="0"/>
      <w:marBottom w:val="0"/>
      <w:divBdr>
        <w:top w:val="none" w:sz="0" w:space="0" w:color="auto"/>
        <w:left w:val="none" w:sz="0" w:space="0" w:color="auto"/>
        <w:bottom w:val="none" w:sz="0" w:space="0" w:color="auto"/>
        <w:right w:val="none" w:sz="0" w:space="0" w:color="auto"/>
      </w:divBdr>
    </w:div>
    <w:div w:id="739056565">
      <w:bodyDiv w:val="1"/>
      <w:marLeft w:val="0"/>
      <w:marRight w:val="0"/>
      <w:marTop w:val="0"/>
      <w:marBottom w:val="0"/>
      <w:divBdr>
        <w:top w:val="none" w:sz="0" w:space="0" w:color="auto"/>
        <w:left w:val="none" w:sz="0" w:space="0" w:color="auto"/>
        <w:bottom w:val="none" w:sz="0" w:space="0" w:color="auto"/>
        <w:right w:val="none" w:sz="0" w:space="0" w:color="auto"/>
      </w:divBdr>
    </w:div>
    <w:div w:id="794564186">
      <w:bodyDiv w:val="1"/>
      <w:marLeft w:val="0"/>
      <w:marRight w:val="0"/>
      <w:marTop w:val="0"/>
      <w:marBottom w:val="0"/>
      <w:divBdr>
        <w:top w:val="none" w:sz="0" w:space="0" w:color="auto"/>
        <w:left w:val="none" w:sz="0" w:space="0" w:color="auto"/>
        <w:bottom w:val="none" w:sz="0" w:space="0" w:color="auto"/>
        <w:right w:val="none" w:sz="0" w:space="0" w:color="auto"/>
      </w:divBdr>
    </w:div>
    <w:div w:id="845437528">
      <w:bodyDiv w:val="1"/>
      <w:marLeft w:val="0"/>
      <w:marRight w:val="0"/>
      <w:marTop w:val="0"/>
      <w:marBottom w:val="0"/>
      <w:divBdr>
        <w:top w:val="none" w:sz="0" w:space="0" w:color="auto"/>
        <w:left w:val="none" w:sz="0" w:space="0" w:color="auto"/>
        <w:bottom w:val="none" w:sz="0" w:space="0" w:color="auto"/>
        <w:right w:val="none" w:sz="0" w:space="0" w:color="auto"/>
      </w:divBdr>
    </w:div>
    <w:div w:id="1007054731">
      <w:bodyDiv w:val="1"/>
      <w:marLeft w:val="0"/>
      <w:marRight w:val="0"/>
      <w:marTop w:val="0"/>
      <w:marBottom w:val="0"/>
      <w:divBdr>
        <w:top w:val="none" w:sz="0" w:space="0" w:color="auto"/>
        <w:left w:val="none" w:sz="0" w:space="0" w:color="auto"/>
        <w:bottom w:val="none" w:sz="0" w:space="0" w:color="auto"/>
        <w:right w:val="none" w:sz="0" w:space="0" w:color="auto"/>
      </w:divBdr>
    </w:div>
    <w:div w:id="1184367056">
      <w:bodyDiv w:val="1"/>
      <w:marLeft w:val="0"/>
      <w:marRight w:val="0"/>
      <w:marTop w:val="0"/>
      <w:marBottom w:val="0"/>
      <w:divBdr>
        <w:top w:val="none" w:sz="0" w:space="0" w:color="auto"/>
        <w:left w:val="none" w:sz="0" w:space="0" w:color="auto"/>
        <w:bottom w:val="none" w:sz="0" w:space="0" w:color="auto"/>
        <w:right w:val="none" w:sz="0" w:space="0" w:color="auto"/>
      </w:divBdr>
    </w:div>
    <w:div w:id="1220674368">
      <w:bodyDiv w:val="1"/>
      <w:marLeft w:val="0"/>
      <w:marRight w:val="0"/>
      <w:marTop w:val="0"/>
      <w:marBottom w:val="0"/>
      <w:divBdr>
        <w:top w:val="none" w:sz="0" w:space="0" w:color="auto"/>
        <w:left w:val="none" w:sz="0" w:space="0" w:color="auto"/>
        <w:bottom w:val="none" w:sz="0" w:space="0" w:color="auto"/>
        <w:right w:val="none" w:sz="0" w:space="0" w:color="auto"/>
      </w:divBdr>
    </w:div>
    <w:div w:id="1263218283">
      <w:bodyDiv w:val="1"/>
      <w:marLeft w:val="0"/>
      <w:marRight w:val="0"/>
      <w:marTop w:val="0"/>
      <w:marBottom w:val="0"/>
      <w:divBdr>
        <w:top w:val="none" w:sz="0" w:space="0" w:color="auto"/>
        <w:left w:val="none" w:sz="0" w:space="0" w:color="auto"/>
        <w:bottom w:val="none" w:sz="0" w:space="0" w:color="auto"/>
        <w:right w:val="none" w:sz="0" w:space="0" w:color="auto"/>
      </w:divBdr>
    </w:div>
    <w:div w:id="1466699600">
      <w:bodyDiv w:val="1"/>
      <w:marLeft w:val="0"/>
      <w:marRight w:val="0"/>
      <w:marTop w:val="0"/>
      <w:marBottom w:val="0"/>
      <w:divBdr>
        <w:top w:val="none" w:sz="0" w:space="0" w:color="auto"/>
        <w:left w:val="none" w:sz="0" w:space="0" w:color="auto"/>
        <w:bottom w:val="none" w:sz="0" w:space="0" w:color="auto"/>
        <w:right w:val="none" w:sz="0" w:space="0" w:color="auto"/>
      </w:divBdr>
    </w:div>
    <w:div w:id="1533302888">
      <w:bodyDiv w:val="1"/>
      <w:marLeft w:val="0"/>
      <w:marRight w:val="0"/>
      <w:marTop w:val="0"/>
      <w:marBottom w:val="0"/>
      <w:divBdr>
        <w:top w:val="none" w:sz="0" w:space="0" w:color="auto"/>
        <w:left w:val="none" w:sz="0" w:space="0" w:color="auto"/>
        <w:bottom w:val="none" w:sz="0" w:space="0" w:color="auto"/>
        <w:right w:val="none" w:sz="0" w:space="0" w:color="auto"/>
      </w:divBdr>
    </w:div>
    <w:div w:id="1642424032">
      <w:bodyDiv w:val="1"/>
      <w:marLeft w:val="0"/>
      <w:marRight w:val="0"/>
      <w:marTop w:val="0"/>
      <w:marBottom w:val="0"/>
      <w:divBdr>
        <w:top w:val="none" w:sz="0" w:space="0" w:color="auto"/>
        <w:left w:val="none" w:sz="0" w:space="0" w:color="auto"/>
        <w:bottom w:val="none" w:sz="0" w:space="0" w:color="auto"/>
        <w:right w:val="none" w:sz="0" w:space="0" w:color="auto"/>
      </w:divBdr>
    </w:div>
    <w:div w:id="1704941017">
      <w:bodyDiv w:val="1"/>
      <w:marLeft w:val="0"/>
      <w:marRight w:val="0"/>
      <w:marTop w:val="0"/>
      <w:marBottom w:val="0"/>
      <w:divBdr>
        <w:top w:val="none" w:sz="0" w:space="0" w:color="auto"/>
        <w:left w:val="none" w:sz="0" w:space="0" w:color="auto"/>
        <w:bottom w:val="none" w:sz="0" w:space="0" w:color="auto"/>
        <w:right w:val="none" w:sz="0" w:space="0" w:color="auto"/>
      </w:divBdr>
    </w:div>
    <w:div w:id="1872523405">
      <w:bodyDiv w:val="1"/>
      <w:marLeft w:val="0"/>
      <w:marRight w:val="0"/>
      <w:marTop w:val="0"/>
      <w:marBottom w:val="0"/>
      <w:divBdr>
        <w:top w:val="none" w:sz="0" w:space="0" w:color="auto"/>
        <w:left w:val="none" w:sz="0" w:space="0" w:color="auto"/>
        <w:bottom w:val="none" w:sz="0" w:space="0" w:color="auto"/>
        <w:right w:val="none" w:sz="0" w:space="0" w:color="auto"/>
      </w:divBdr>
    </w:div>
    <w:div w:id="190737499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11820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94ADC-B42D-41B6-B739-5F9AAD234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1547</Words>
  <Characters>8603</Characters>
  <Application>Microsoft Office Word</Application>
  <DocSecurity>0</DocSecurity>
  <Lines>153</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Taylor</dc:creator>
  <cp:keywords/>
  <dc:description/>
  <cp:lastModifiedBy>Jon Taylor</cp:lastModifiedBy>
  <cp:revision>63</cp:revision>
  <dcterms:created xsi:type="dcterms:W3CDTF">2020-04-06T13:27:00Z</dcterms:created>
  <dcterms:modified xsi:type="dcterms:W3CDTF">2020-05-29T18:42:00Z</dcterms:modified>
</cp:coreProperties>
</file>