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144C1670" w:rsidR="00226288" w:rsidRPr="00226288" w:rsidRDefault="00226288" w:rsidP="004D0BAF">
      <w:pPr>
        <w:spacing w:line="480" w:lineRule="auto"/>
        <w:contextualSpacing/>
      </w:pPr>
      <w:r w:rsidRPr="00226288">
        <w:t xml:space="preserve">An </w:t>
      </w:r>
      <w:r w:rsidR="00081AC4">
        <w:t>Image</w:t>
      </w:r>
      <w:r w:rsidRPr="00226288">
        <w:t xml:space="preserve"> of the Future – </w:t>
      </w:r>
      <w:r w:rsidR="009E7501">
        <w:t>Entity 40</w:t>
      </w:r>
      <w:r w:rsidRPr="00226288">
        <w:t xml:space="preserve"> and Regional Service District </w:t>
      </w:r>
      <w:r w:rsidR="00F7227B">
        <w:t>9</w:t>
      </w:r>
    </w:p>
    <w:p w14:paraId="70CB123F" w14:textId="7B066DE5"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9E7501">
        <w:rPr>
          <w:rFonts w:eastAsia="Times New Roman"/>
        </w:rPr>
        <w:t>Entity 40</w:t>
      </w:r>
      <w:r w:rsidR="006736F1">
        <w:rPr>
          <w:rFonts w:eastAsia="Times New Roman"/>
        </w:rPr>
        <w:t>.</w:t>
      </w:r>
      <w:r w:rsidRPr="00226288">
        <w:rPr>
          <w:rFonts w:eastAsia="Times New Roman"/>
        </w:rPr>
        <w:t xml:space="preserve"> For the duration of this discussion the municipality shall be referred to as </w:t>
      </w:r>
      <w:r w:rsidR="009E7501">
        <w:rPr>
          <w:rFonts w:eastAsia="Times New Roman"/>
        </w:rPr>
        <w:t>Entity 40</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A259C1">
        <w:rPr>
          <w:rFonts w:eastAsia="Times New Roman"/>
        </w:rPr>
        <w:t>Saint John, the</w:t>
      </w:r>
      <w:r w:rsidRPr="00226288">
        <w:rPr>
          <w:rFonts w:eastAsia="Times New Roman"/>
        </w:rPr>
        <w:t xml:space="preserv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6C943AE8" w:rsidR="00226288" w:rsidRPr="00226288" w:rsidRDefault="00D41D53" w:rsidP="00226288">
      <w:pPr>
        <w:rPr>
          <w:b/>
          <w:bCs/>
        </w:rPr>
      </w:pPr>
      <w:r>
        <w:rPr>
          <w:noProof/>
          <w:szCs w:val="24"/>
        </w:rPr>
        <w:drawing>
          <wp:anchor distT="0" distB="0" distL="114300" distR="114300" simplePos="0" relativeHeight="251656192" behindDoc="0" locked="0" layoutInCell="1" allowOverlap="1" wp14:anchorId="4E73665D" wp14:editId="48BB6C13">
            <wp:simplePos x="0" y="0"/>
            <wp:positionH relativeFrom="column">
              <wp:posOffset>1879600</wp:posOffset>
            </wp:positionH>
            <wp:positionV relativeFrom="paragraph">
              <wp:posOffset>42545</wp:posOffset>
            </wp:positionV>
            <wp:extent cx="4058285" cy="2498725"/>
            <wp:effectExtent l="0" t="0" r="0" b="0"/>
            <wp:wrapThrough wrapText="bothSides">
              <wp:wrapPolygon edited="0">
                <wp:start x="203" y="0"/>
                <wp:lineTo x="0" y="494"/>
                <wp:lineTo x="0" y="20255"/>
                <wp:lineTo x="101" y="21243"/>
                <wp:lineTo x="203" y="21408"/>
                <wp:lineTo x="21292" y="21408"/>
                <wp:lineTo x="21394" y="21243"/>
                <wp:lineTo x="21495" y="20255"/>
                <wp:lineTo x="21495" y="494"/>
                <wp:lineTo x="21292" y="0"/>
                <wp:lineTo x="203"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39" t="49930" r="51476" b="3657"/>
                    <a:stretch/>
                  </pic:blipFill>
                  <pic:spPr bwMode="auto">
                    <a:xfrm>
                      <a:off x="0" y="0"/>
                      <a:ext cx="4058285" cy="249872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67AAE156" w:rsidR="00226288" w:rsidRDefault="009E7501" w:rsidP="0088243B">
      <w:pPr>
        <w:jc w:val="both"/>
        <w:rPr>
          <w:szCs w:val="24"/>
        </w:rPr>
      </w:pPr>
      <w:r>
        <w:rPr>
          <w:szCs w:val="24"/>
        </w:rPr>
        <w:t>Entity 40</w:t>
      </w:r>
      <w:r w:rsidR="006C7607">
        <w:rPr>
          <w:szCs w:val="24"/>
        </w:rPr>
        <w:t xml:space="preserve"> </w:t>
      </w:r>
      <w:r w:rsidR="009326EC">
        <w:rPr>
          <w:szCs w:val="24"/>
        </w:rPr>
        <w:t>would be compr</w:t>
      </w:r>
      <w:r w:rsidR="00534A60">
        <w:rPr>
          <w:szCs w:val="24"/>
        </w:rPr>
        <w:t>ised of the City of Saint John</w:t>
      </w:r>
      <w:r w:rsidR="00061F21">
        <w:rPr>
          <w:szCs w:val="24"/>
        </w:rPr>
        <w:t>,</w:t>
      </w:r>
      <w:r w:rsidR="00534A60">
        <w:rPr>
          <w:szCs w:val="24"/>
        </w:rPr>
        <w:t xml:space="preserve"> the Musquash LSD</w:t>
      </w:r>
      <w:r w:rsidR="00061F21">
        <w:rPr>
          <w:szCs w:val="24"/>
        </w:rPr>
        <w:t>, and a portion of the Simonds LSD</w:t>
      </w:r>
      <w:r w:rsidR="00534A60">
        <w:rPr>
          <w:szCs w:val="24"/>
        </w:rPr>
        <w:t xml:space="preserve">. </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5847AD11"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BF3667">
        <w:rPr>
          <w:rFonts w:eastAsia="Times New Roman"/>
          <w:color w:val="000000" w:themeColor="text1"/>
          <w:szCs w:val="24"/>
        </w:rPr>
        <w:t>69000</w:t>
      </w:r>
      <w:r w:rsidR="003002B5">
        <w:rPr>
          <w:szCs w:val="24"/>
        </w:rPr>
        <w:t xml:space="preserve"> p</w:t>
      </w:r>
      <w:r w:rsidR="006437C2">
        <w:rPr>
          <w:szCs w:val="24"/>
        </w:rPr>
        <w:t>eopl</w:t>
      </w:r>
      <w:r w:rsidR="00DF2084">
        <w:rPr>
          <w:szCs w:val="24"/>
        </w:rPr>
        <w:t>e</w:t>
      </w:r>
      <w:r w:rsidR="00283C29">
        <w:rPr>
          <w:szCs w:val="24"/>
        </w:rPr>
        <w:t xml:space="preserve"> – a</w:t>
      </w:r>
      <w:r w:rsidR="00226B63">
        <w:rPr>
          <w:szCs w:val="24"/>
        </w:rPr>
        <w:t xml:space="preserve"> </w:t>
      </w:r>
      <w:r w:rsidR="008B13CF">
        <w:rPr>
          <w:szCs w:val="24"/>
        </w:rPr>
        <w:t xml:space="preserve">population which has </w:t>
      </w:r>
      <w:r w:rsidR="00EC40D2">
        <w:rPr>
          <w:szCs w:val="24"/>
        </w:rPr>
        <w:t>decreased by 3%</w:t>
      </w:r>
      <w:r w:rsidR="008B13CF">
        <w:rPr>
          <w:szCs w:val="24"/>
        </w:rPr>
        <w:t xml:space="preserve"> since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9E7501">
        <w:rPr>
          <w:rFonts w:eastAsia="Times New Roman"/>
          <w:color w:val="000000" w:themeColor="text1"/>
          <w:szCs w:val="24"/>
        </w:rPr>
        <w:t>Entity 40</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0A66A86E" w14:textId="5006BCE4" w:rsidR="00050D78"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8F4011">
        <w:rPr>
          <w:rFonts w:eastAsia="Times New Roman"/>
          <w:color w:val="000000" w:themeColor="text1"/>
          <w:szCs w:val="24"/>
        </w:rPr>
        <w:t>t</w:t>
      </w:r>
      <w:r w:rsidR="000F7BD4">
        <w:rPr>
          <w:rFonts w:eastAsia="Times New Roman"/>
          <w:color w:val="000000" w:themeColor="text1"/>
          <w:szCs w:val="24"/>
        </w:rPr>
        <w:t xml:space="preserve">he population of Musquash would represent only </w:t>
      </w:r>
      <w:r w:rsidR="002D5B84">
        <w:rPr>
          <w:rFonts w:eastAsia="Times New Roman"/>
          <w:color w:val="000000" w:themeColor="text1"/>
          <w:szCs w:val="24"/>
        </w:rPr>
        <w:t>1.7% of the overall population</w:t>
      </w:r>
      <w:r>
        <w:rPr>
          <w:rFonts w:eastAsia="Times New Roman"/>
          <w:color w:val="000000" w:themeColor="text1"/>
          <w:szCs w:val="24"/>
        </w:rPr>
        <w:t xml:space="preserve"> of the proposed entity</w:t>
      </w:r>
      <w:r w:rsidR="00D23413">
        <w:rPr>
          <w:rFonts w:eastAsia="Times New Roman"/>
          <w:color w:val="000000" w:themeColor="text1"/>
          <w:szCs w:val="24"/>
        </w:rPr>
        <w:t xml:space="preserve">. </w:t>
      </w:r>
      <w:r w:rsidR="00EF48F6">
        <w:rPr>
          <w:rFonts w:eastAsia="Times New Roman"/>
          <w:color w:val="000000" w:themeColor="text1"/>
          <w:szCs w:val="24"/>
        </w:rPr>
        <w:t xml:space="preserve">However, the incorporation of this area would be beneficial for both </w:t>
      </w:r>
      <w:r w:rsidR="00150658">
        <w:rPr>
          <w:rFonts w:eastAsia="Times New Roman"/>
          <w:color w:val="000000" w:themeColor="text1"/>
          <w:szCs w:val="24"/>
        </w:rPr>
        <w:t>existing local governance entities.</w:t>
      </w:r>
      <w:r>
        <w:rPr>
          <w:rFonts w:eastAsia="Times New Roman"/>
          <w:color w:val="000000" w:themeColor="text1"/>
          <w:szCs w:val="24"/>
        </w:rPr>
        <w:t xml:space="preserve">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9E7501">
        <w:rPr>
          <w:rFonts w:eastAsia="Times New Roman"/>
          <w:color w:val="000000" w:themeColor="text1"/>
          <w:szCs w:val="24"/>
        </w:rPr>
        <w:t>Entity 40</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horzAnchor="margin" w:tblpXSpec="right" w:tblpY="32"/>
        <w:tblOverlap w:val="never"/>
        <w:tblW w:w="5797" w:type="dxa"/>
        <w:tblLook w:val="04A0" w:firstRow="1" w:lastRow="0" w:firstColumn="1" w:lastColumn="0" w:noHBand="0" w:noVBand="1"/>
      </w:tblPr>
      <w:tblGrid>
        <w:gridCol w:w="2496"/>
        <w:gridCol w:w="1652"/>
        <w:gridCol w:w="1649"/>
      </w:tblGrid>
      <w:tr w:rsidR="009543B0" w:rsidRPr="002E19C3" w14:paraId="62DE7FF1" w14:textId="77777777" w:rsidTr="009543B0">
        <w:trPr>
          <w:trHeight w:val="310"/>
        </w:trPr>
        <w:tc>
          <w:tcPr>
            <w:tcW w:w="5797" w:type="dxa"/>
            <w:gridSpan w:val="3"/>
            <w:tcBorders>
              <w:top w:val="nil"/>
              <w:left w:val="nil"/>
              <w:bottom w:val="single" w:sz="8" w:space="0" w:color="BFBFBF"/>
              <w:right w:val="nil"/>
            </w:tcBorders>
            <w:shd w:val="clear" w:color="auto" w:fill="auto"/>
            <w:noWrap/>
            <w:vAlign w:val="center"/>
            <w:hideMark/>
          </w:tcPr>
          <w:p w14:paraId="3BBD2919"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Turnout by Existing Municipality</w:t>
            </w:r>
          </w:p>
        </w:tc>
      </w:tr>
      <w:tr w:rsidR="009543B0" w:rsidRPr="002E19C3" w14:paraId="6319C755" w14:textId="77777777" w:rsidTr="009543B0">
        <w:trPr>
          <w:trHeight w:val="970"/>
        </w:trPr>
        <w:tc>
          <w:tcPr>
            <w:tcW w:w="2496" w:type="dxa"/>
            <w:tcBorders>
              <w:top w:val="nil"/>
              <w:left w:val="nil"/>
              <w:bottom w:val="nil"/>
              <w:right w:val="nil"/>
            </w:tcBorders>
            <w:shd w:val="clear" w:color="4472C4" w:fill="4472C4"/>
            <w:vAlign w:val="center"/>
            <w:hideMark/>
          </w:tcPr>
          <w:p w14:paraId="0CDF34EB"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69FDD237"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2012</w:t>
            </w:r>
            <w:r w:rsidRPr="002E19C3">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497686AF" w14:textId="77777777" w:rsidR="009543B0" w:rsidRPr="002E19C3" w:rsidRDefault="009543B0" w:rsidP="009543B0">
            <w:pPr>
              <w:spacing w:after="0" w:line="240" w:lineRule="auto"/>
              <w:jc w:val="center"/>
              <w:rPr>
                <w:rFonts w:eastAsia="Times New Roman"/>
                <w:b/>
                <w:bCs/>
                <w:color w:val="000000"/>
                <w:szCs w:val="24"/>
                <w:lang w:val="en-CA" w:eastAsia="en-CA"/>
              </w:rPr>
            </w:pPr>
            <w:r w:rsidRPr="002E19C3">
              <w:rPr>
                <w:rFonts w:eastAsia="Times New Roman"/>
                <w:b/>
                <w:bCs/>
                <w:color w:val="000000"/>
                <w:szCs w:val="24"/>
                <w:lang w:val="en-CA" w:eastAsia="en-CA"/>
              </w:rPr>
              <w:t>Voter Participation 2016</w:t>
            </w:r>
            <w:r w:rsidRPr="002E19C3">
              <w:rPr>
                <w:rFonts w:eastAsia="Times New Roman"/>
                <w:b/>
                <w:bCs/>
                <w:color w:val="000000"/>
                <w:szCs w:val="24"/>
                <w:vertAlign w:val="superscript"/>
                <w:lang w:val="en-CA" w:eastAsia="en-CA"/>
              </w:rPr>
              <w:t>2</w:t>
            </w:r>
          </w:p>
        </w:tc>
      </w:tr>
      <w:tr w:rsidR="00C0197B" w:rsidRPr="002E19C3" w14:paraId="430F5263" w14:textId="77777777" w:rsidTr="009543B0">
        <w:trPr>
          <w:trHeight w:val="320"/>
        </w:trPr>
        <w:tc>
          <w:tcPr>
            <w:tcW w:w="2496" w:type="dxa"/>
            <w:tcBorders>
              <w:top w:val="single" w:sz="12" w:space="0" w:color="FFFFFF"/>
              <w:left w:val="nil"/>
              <w:bottom w:val="nil"/>
              <w:right w:val="nil"/>
            </w:tcBorders>
            <w:shd w:val="clear" w:color="B4C6E7" w:fill="B4C6E7"/>
            <w:noWrap/>
            <w:vAlign w:val="bottom"/>
            <w:hideMark/>
          </w:tcPr>
          <w:p w14:paraId="6F00E6F6" w14:textId="4A9A01C8" w:rsidR="00C0197B" w:rsidRPr="00C0197B" w:rsidRDefault="00C0197B" w:rsidP="00C0197B">
            <w:pPr>
              <w:spacing w:after="0" w:line="240" w:lineRule="auto"/>
              <w:rPr>
                <w:rFonts w:eastAsia="Times New Roman"/>
                <w:color w:val="000000"/>
                <w:szCs w:val="24"/>
                <w:lang w:val="en-CA" w:eastAsia="en-CA"/>
              </w:rPr>
            </w:pPr>
            <w:r w:rsidRPr="00C0197B">
              <w:rPr>
                <w:color w:val="000000"/>
                <w:szCs w:val="24"/>
              </w:rPr>
              <w:t xml:space="preserve">Saint John </w:t>
            </w:r>
          </w:p>
        </w:tc>
        <w:tc>
          <w:tcPr>
            <w:tcW w:w="1652" w:type="dxa"/>
            <w:tcBorders>
              <w:top w:val="single" w:sz="12" w:space="0" w:color="FFFFFF"/>
              <w:left w:val="single" w:sz="4" w:space="0" w:color="FFFFFF"/>
              <w:bottom w:val="nil"/>
              <w:right w:val="nil"/>
            </w:tcBorders>
            <w:shd w:val="clear" w:color="B4C6E7" w:fill="B4C6E7"/>
            <w:noWrap/>
            <w:vAlign w:val="bottom"/>
            <w:hideMark/>
          </w:tcPr>
          <w:p w14:paraId="10A95877" w14:textId="28D9454A" w:rsidR="00C0197B" w:rsidRPr="00C0197B" w:rsidRDefault="00C0197B" w:rsidP="00C0197B">
            <w:pPr>
              <w:spacing w:after="0" w:line="240" w:lineRule="auto"/>
              <w:jc w:val="right"/>
              <w:rPr>
                <w:rFonts w:eastAsia="Times New Roman"/>
                <w:color w:val="000000"/>
                <w:szCs w:val="24"/>
                <w:lang w:val="en-CA" w:eastAsia="en-CA"/>
              </w:rPr>
            </w:pPr>
            <w:r w:rsidRPr="00C0197B">
              <w:rPr>
                <w:color w:val="000000"/>
                <w:szCs w:val="24"/>
              </w:rPr>
              <w:t>45.55%</w:t>
            </w:r>
          </w:p>
        </w:tc>
        <w:tc>
          <w:tcPr>
            <w:tcW w:w="1649" w:type="dxa"/>
            <w:tcBorders>
              <w:top w:val="single" w:sz="12" w:space="0" w:color="FFFFFF"/>
              <w:left w:val="single" w:sz="4" w:space="0" w:color="FFFFFF"/>
              <w:bottom w:val="nil"/>
              <w:right w:val="nil"/>
            </w:tcBorders>
            <w:shd w:val="clear" w:color="B4C6E7" w:fill="B4C6E7"/>
            <w:noWrap/>
            <w:vAlign w:val="bottom"/>
            <w:hideMark/>
          </w:tcPr>
          <w:p w14:paraId="4BB392B0" w14:textId="73EC3FEE" w:rsidR="00C0197B" w:rsidRPr="00C0197B" w:rsidRDefault="00C0197B" w:rsidP="00C0197B">
            <w:pPr>
              <w:spacing w:after="0" w:line="240" w:lineRule="auto"/>
              <w:jc w:val="right"/>
              <w:rPr>
                <w:rFonts w:eastAsia="Times New Roman"/>
                <w:color w:val="000000"/>
                <w:szCs w:val="24"/>
                <w:lang w:val="en-CA" w:eastAsia="en-CA"/>
              </w:rPr>
            </w:pPr>
            <w:r w:rsidRPr="00C0197B">
              <w:rPr>
                <w:color w:val="000000"/>
                <w:szCs w:val="24"/>
              </w:rPr>
              <w:t>38.09%</w:t>
            </w:r>
          </w:p>
        </w:tc>
      </w:tr>
      <w:tr w:rsidR="009543B0" w:rsidRPr="002E19C3" w14:paraId="35F657CD" w14:textId="77777777" w:rsidTr="009543B0">
        <w:trPr>
          <w:trHeight w:val="290"/>
        </w:trPr>
        <w:tc>
          <w:tcPr>
            <w:tcW w:w="5797" w:type="dxa"/>
            <w:gridSpan w:val="3"/>
            <w:tcBorders>
              <w:top w:val="nil"/>
              <w:left w:val="nil"/>
              <w:bottom w:val="nil"/>
              <w:right w:val="nil"/>
            </w:tcBorders>
            <w:shd w:val="clear" w:color="auto" w:fill="auto"/>
            <w:noWrap/>
            <w:vAlign w:val="bottom"/>
            <w:hideMark/>
          </w:tcPr>
          <w:p w14:paraId="3DD881BF" w14:textId="77777777" w:rsidR="009543B0" w:rsidRPr="002E19C3" w:rsidRDefault="009543B0" w:rsidP="009543B0">
            <w:pPr>
              <w:spacing w:after="0" w:line="240" w:lineRule="auto"/>
              <w:rPr>
                <w:rFonts w:eastAsia="Times New Roman"/>
                <w:color w:val="000000"/>
                <w:sz w:val="20"/>
                <w:szCs w:val="20"/>
                <w:lang w:val="en-CA" w:eastAsia="en-CA"/>
              </w:rPr>
            </w:pPr>
            <w:r w:rsidRPr="002E19C3">
              <w:rPr>
                <w:rFonts w:eastAsia="Times New Roman"/>
                <w:color w:val="000000"/>
                <w:sz w:val="20"/>
                <w:szCs w:val="20"/>
                <w:lang w:val="en-CA" w:eastAsia="en-CA"/>
              </w:rPr>
              <w:t>1. Elections NB</w:t>
            </w:r>
          </w:p>
        </w:tc>
      </w:tr>
    </w:tbl>
    <w:p w14:paraId="4BEFABE4" w14:textId="01633796" w:rsidR="007353DE" w:rsidRDefault="007353DE" w:rsidP="00900633">
      <w:pPr>
        <w:jc w:val="both"/>
        <w:rPr>
          <w:rFonts w:eastAsia="Times New Roman"/>
          <w:color w:val="000000" w:themeColor="text1"/>
          <w:szCs w:val="24"/>
        </w:rPr>
      </w:pPr>
      <w:r>
        <w:rPr>
          <w:rFonts w:eastAsia="Times New Roman"/>
          <w:color w:val="000000" w:themeColor="text1"/>
          <w:szCs w:val="24"/>
        </w:rPr>
        <w:t xml:space="preserve">In addition, amalgamation would </w:t>
      </w:r>
      <w:r w:rsidR="00FA2BEF">
        <w:rPr>
          <w:rFonts w:eastAsia="Times New Roman"/>
          <w:color w:val="000000" w:themeColor="text1"/>
          <w:szCs w:val="24"/>
        </w:rPr>
        <w:t xml:space="preserve">potentially shore up </w:t>
      </w:r>
      <w:r w:rsidR="007E279D">
        <w:rPr>
          <w:rFonts w:eastAsia="Times New Roman"/>
          <w:color w:val="000000" w:themeColor="text1"/>
          <w:szCs w:val="24"/>
        </w:rPr>
        <w:t>Saint John’s voter turnout rate</w:t>
      </w:r>
      <w:r>
        <w:rPr>
          <w:rFonts w:eastAsia="Times New Roman"/>
          <w:color w:val="000000" w:themeColor="text1"/>
          <w:szCs w:val="24"/>
        </w:rPr>
        <w:t>.</w:t>
      </w:r>
      <w:r w:rsidR="00A83E2A">
        <w:rPr>
          <w:rFonts w:eastAsia="Times New Roman"/>
          <w:color w:val="000000" w:themeColor="text1"/>
          <w:szCs w:val="24"/>
        </w:rPr>
        <w:t xml:space="preserve"> </w:t>
      </w:r>
      <w:r w:rsidR="007D72CD">
        <w:rPr>
          <w:rFonts w:eastAsia="Times New Roman"/>
          <w:color w:val="000000" w:themeColor="text1"/>
          <w:szCs w:val="24"/>
        </w:rPr>
        <w:t>Typically, e</w:t>
      </w:r>
      <w:r w:rsidR="00342B7F">
        <w:rPr>
          <w:rFonts w:eastAsia="Times New Roman"/>
          <w:color w:val="000000" w:themeColor="text1"/>
          <w:szCs w:val="24"/>
        </w:rPr>
        <w:t xml:space="preserve">xpanding the electorate </w:t>
      </w:r>
      <w:r w:rsidR="009543B0">
        <w:rPr>
          <w:rFonts w:eastAsia="Times New Roman"/>
          <w:color w:val="000000" w:themeColor="text1"/>
          <w:szCs w:val="24"/>
        </w:rPr>
        <w:t>would foster</w:t>
      </w:r>
      <w:r w:rsidR="00342B7F">
        <w:rPr>
          <w:rFonts w:eastAsia="Times New Roman"/>
          <w:color w:val="000000" w:themeColor="text1"/>
          <w:szCs w:val="24"/>
        </w:rPr>
        <w:t xml:space="preserve"> a greater competition of interests, leading to better accountability</w:t>
      </w:r>
      <w:r w:rsidR="009543B0">
        <w:rPr>
          <w:rFonts w:eastAsia="Times New Roman"/>
          <w:color w:val="000000" w:themeColor="text1"/>
          <w:szCs w:val="24"/>
        </w:rPr>
        <w:t xml:space="preserve"> and incentivize more regular voter turnout</w:t>
      </w:r>
      <w:r w:rsidR="00342B7F">
        <w:rPr>
          <w:rFonts w:eastAsia="Times New Roman"/>
          <w:color w:val="000000" w:themeColor="text1"/>
          <w:szCs w:val="24"/>
        </w:rPr>
        <w:t xml:space="preserve">. </w:t>
      </w:r>
      <w:r w:rsidR="007D72CD">
        <w:rPr>
          <w:rFonts w:eastAsia="Times New Roman"/>
          <w:color w:val="000000" w:themeColor="text1"/>
          <w:szCs w:val="24"/>
        </w:rPr>
        <w:t xml:space="preserve">In this case, however, as the population of Saint John is so large, the </w:t>
      </w:r>
      <w:r w:rsidR="00FA5E02">
        <w:rPr>
          <w:rFonts w:eastAsia="Times New Roman"/>
          <w:color w:val="000000" w:themeColor="text1"/>
          <w:szCs w:val="24"/>
        </w:rPr>
        <w:lastRenderedPageBreak/>
        <w:t>e</w:t>
      </w:r>
      <w:r w:rsidR="007D72CD">
        <w:rPr>
          <w:rFonts w:eastAsia="Times New Roman"/>
          <w:color w:val="000000" w:themeColor="text1"/>
          <w:szCs w:val="24"/>
        </w:rPr>
        <w:t xml:space="preserve">ffect of the incorporation of Musquash on the voter participation would be negligible at best. </w:t>
      </w:r>
      <w:r w:rsidR="008B759D">
        <w:rPr>
          <w:rFonts w:eastAsia="Times New Roman"/>
          <w:color w:val="000000" w:themeColor="text1"/>
          <w:szCs w:val="24"/>
        </w:rPr>
        <w:t>Nonetheless</w:t>
      </w:r>
      <w:r w:rsidR="00D50147">
        <w:rPr>
          <w:rFonts w:eastAsia="Times New Roman"/>
          <w:color w:val="000000" w:themeColor="text1"/>
          <w:szCs w:val="24"/>
        </w:rPr>
        <w:t xml:space="preserve">, the </w:t>
      </w:r>
      <w:r w:rsidR="00B126C5">
        <w:rPr>
          <w:rFonts w:eastAsia="Times New Roman"/>
          <w:color w:val="000000" w:themeColor="text1"/>
          <w:szCs w:val="24"/>
        </w:rPr>
        <w:t xml:space="preserve">necessary </w:t>
      </w:r>
      <w:r w:rsidR="008B759D">
        <w:rPr>
          <w:rFonts w:eastAsia="Times New Roman"/>
          <w:color w:val="000000" w:themeColor="text1"/>
          <w:szCs w:val="24"/>
        </w:rPr>
        <w:t>reassessment</w:t>
      </w:r>
      <w:r w:rsidR="00B126C5">
        <w:rPr>
          <w:rFonts w:eastAsia="Times New Roman"/>
          <w:color w:val="000000" w:themeColor="text1"/>
          <w:szCs w:val="24"/>
        </w:rPr>
        <w:t xml:space="preserve"> of ward boundaries to reflect the municipality’s new size may encourage greater competition </w:t>
      </w:r>
      <w:r w:rsidR="008B759D">
        <w:rPr>
          <w:rFonts w:eastAsia="Times New Roman"/>
          <w:color w:val="000000" w:themeColor="text1"/>
          <w:szCs w:val="24"/>
        </w:rPr>
        <w:t>=, incentivizing participation.</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352649A4" w:rsidR="002D1F21" w:rsidRDefault="00FA5E02" w:rsidP="00900633">
      <w:pPr>
        <w:jc w:val="both"/>
      </w:pPr>
      <w:r>
        <w:t xml:space="preserve">The primary benefit for Saint John would be the </w:t>
      </w:r>
      <w:r w:rsidR="00860BC3">
        <w:t xml:space="preserve">addition of Musquash’s property assessment base. </w:t>
      </w:r>
      <w:r w:rsidR="009E7501">
        <w:t>Entity 40</w:t>
      </w:r>
      <w:r w:rsidR="002D1F21" w:rsidRPr="00226288">
        <w:t xml:space="preserve"> w</w:t>
      </w:r>
      <w:r w:rsidR="001A086F">
        <w:t>ould</w:t>
      </w:r>
      <w:r w:rsidR="003C5853">
        <w:t xml:space="preserve">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08B188FD" w:rsidR="002D1F21" w:rsidRPr="008B759D" w:rsidRDefault="00226288" w:rsidP="00900633">
      <w:pPr>
        <w:jc w:val="both"/>
        <w:rPr>
          <w:rFonts w:eastAsia="Times New Roman"/>
          <w:color w:val="000000"/>
          <w:sz w:val="22"/>
          <w:lang w:val="en-CA" w:eastAsia="en-CA"/>
        </w:rPr>
      </w:pPr>
      <w:r w:rsidRPr="00226288">
        <w:t xml:space="preserve">Because its population is </w:t>
      </w:r>
      <w:r w:rsidR="00603FD2">
        <w:t>above 4</w:t>
      </w:r>
      <w:r w:rsidR="00275F78">
        <w:t>0000</w:t>
      </w:r>
      <w:r w:rsidRPr="00226288">
        <w:t xml:space="preserve">, </w:t>
      </w:r>
      <w:r w:rsidR="009E7501">
        <w:t>Entity 40</w:t>
      </w:r>
      <w:r w:rsidR="00B125F3">
        <w:t xml:space="preserve"> would qualify as a ‘Group </w:t>
      </w:r>
      <w:r w:rsidR="00C0426C">
        <w:t>C</w:t>
      </w:r>
      <w:r w:rsidR="003B2A08">
        <w:t>’</w:t>
      </w:r>
      <w:r w:rsidRPr="00226288">
        <w:t xml:space="preserve"> municipality</w:t>
      </w:r>
      <w:r w:rsidR="003011C3">
        <w:t>.</w:t>
      </w:r>
      <w:r w:rsidR="00C0426C">
        <w:t xml:space="preserve"> However, as</w:t>
      </w:r>
      <w:r w:rsidR="003011C3">
        <w:t xml:space="preserve"> </w:t>
      </w:r>
      <w:r w:rsidR="009E7501">
        <w:t>Entity 40</w:t>
      </w:r>
      <w:r w:rsidR="00B125F3" w:rsidRPr="00AD5F5E">
        <w:rPr>
          <w:szCs w:val="24"/>
        </w:rPr>
        <w:t xml:space="preserve">’s assessment base per capita would </w:t>
      </w:r>
      <w:r w:rsidR="00335DAC" w:rsidRPr="00AD5F5E">
        <w:rPr>
          <w:szCs w:val="24"/>
        </w:rPr>
        <w:t xml:space="preserve">be </w:t>
      </w:r>
      <w:r w:rsidR="00C0426C">
        <w:rPr>
          <w:szCs w:val="24"/>
        </w:rPr>
        <w:t>lesser</w:t>
      </w:r>
      <w:r w:rsidR="00C13784">
        <w:rPr>
          <w:szCs w:val="24"/>
        </w:rPr>
        <w:t xml:space="preserve"> than </w:t>
      </w:r>
      <w:r w:rsidR="00B125F3" w:rsidRPr="00AD5F5E">
        <w:rPr>
          <w:szCs w:val="24"/>
        </w:rPr>
        <w:t>the group average</w:t>
      </w:r>
      <w:r w:rsidR="00AF0CEA" w:rsidRPr="00AD5F5E">
        <w:rPr>
          <w:szCs w:val="24"/>
        </w:rPr>
        <w:t xml:space="preserve">, </w:t>
      </w:r>
      <w:r w:rsidR="00113BAA">
        <w:rPr>
          <w:szCs w:val="24"/>
        </w:rPr>
        <w:t xml:space="preserve">it would be entitled to an annual equalization grant of </w:t>
      </w:r>
      <w:r w:rsidR="00527CA8" w:rsidRPr="00527CA8">
        <w:rPr>
          <w:rFonts w:eastAsia="Times New Roman"/>
          <w:color w:val="000000"/>
          <w:szCs w:val="24"/>
          <w:lang w:val="en-CA" w:eastAsia="en-CA"/>
        </w:rPr>
        <w:t>$5,685,897</w:t>
      </w:r>
      <w:r w:rsidR="00F32316" w:rsidRPr="00CB2DAD">
        <w:rPr>
          <w:szCs w:val="24"/>
        </w:rPr>
        <w:t xml:space="preserve">. </w:t>
      </w:r>
      <w:r w:rsidR="00204AD6">
        <w:rPr>
          <w:szCs w:val="24"/>
        </w:rPr>
        <w:t>In addition to this</w:t>
      </w:r>
      <w:r w:rsidR="0091576F">
        <w:rPr>
          <w:szCs w:val="24"/>
        </w:rPr>
        <w:t xml:space="preserve"> grant</w:t>
      </w:r>
      <w:r w:rsidR="00F32316" w:rsidRPr="00CB2DAD">
        <w:rPr>
          <w:szCs w:val="24"/>
        </w:rPr>
        <w:t>, e</w:t>
      </w:r>
      <w:r w:rsidR="005952B7" w:rsidRPr="00CB2DAD">
        <w:rPr>
          <w:szCs w:val="24"/>
        </w:rPr>
        <w:t>qual opportunity for</w:t>
      </w:r>
      <w:r w:rsidR="00D51BF0" w:rsidRPr="00CB2DAD">
        <w:rPr>
          <w:szCs w:val="24"/>
        </w:rPr>
        <w:t xml:space="preserve"> </w:t>
      </w:r>
      <w:r w:rsidR="009E7501">
        <w:rPr>
          <w:szCs w:val="24"/>
        </w:rPr>
        <w:t>Entity 40</w:t>
      </w:r>
      <w:r w:rsidR="005952B7" w:rsidRPr="00CB2DAD">
        <w:rPr>
          <w:szCs w:val="24"/>
        </w:rPr>
        <w:t xml:space="preserve"> w</w:t>
      </w:r>
      <w:r w:rsidR="003561B9" w:rsidRPr="00CB2DAD">
        <w:rPr>
          <w:szCs w:val="24"/>
        </w:rPr>
        <w:t xml:space="preserve">ould </w:t>
      </w:r>
      <w:r w:rsidR="0091576F">
        <w:rPr>
          <w:szCs w:val="24"/>
        </w:rPr>
        <w:t>be guaranteed by the expanded property tax warrant</w:t>
      </w:r>
      <w:r w:rsidR="003561B9" w:rsidRPr="00CB2DAD">
        <w:rPr>
          <w:szCs w:val="24"/>
        </w:rPr>
        <w:t xml:space="preserve"> derived from the property assessment base</w:t>
      </w:r>
      <w:r w:rsidR="009A766E" w:rsidRPr="00CB2DAD">
        <w:rPr>
          <w:szCs w:val="24"/>
        </w:rPr>
        <w:t xml:space="preserve"> </w:t>
      </w:r>
      <w:r w:rsidR="009A766E" w:rsidRPr="006625CF">
        <w:rPr>
          <w:szCs w:val="24"/>
        </w:rPr>
        <w:t xml:space="preserve">of </w:t>
      </w:r>
      <w:r w:rsidR="006625CF" w:rsidRPr="006625CF">
        <w:rPr>
          <w:rFonts w:eastAsia="Times New Roman"/>
          <w:color w:val="000000"/>
          <w:szCs w:val="24"/>
          <w:lang w:val="en-CA" w:eastAsia="en-CA"/>
        </w:rPr>
        <w:t>$6,499,850,640</w:t>
      </w:r>
      <w:r w:rsidR="007B296F" w:rsidRPr="006625CF">
        <w:rPr>
          <w:rFonts w:eastAsia="Times New Roman"/>
          <w:color w:val="000000"/>
          <w:szCs w:val="24"/>
          <w:lang w:val="en-CA" w:eastAsia="en-CA"/>
        </w:rPr>
        <w:t>.</w:t>
      </w:r>
      <w:r w:rsidR="00C0426C" w:rsidRPr="00C0426C">
        <w:t xml:space="preserve"> </w:t>
      </w:r>
      <w:r w:rsidR="00C0426C">
        <w:t>While Musquash would represent less than 2% of the overall population of the new Entity 40, it’s assessment base would be almost 6% of the proposed entity’s total assessment base. When broken down into residential and non-residential property assessments, non-residential assessment base would represent 13% of the entity’s total.</w:t>
      </w:r>
    </w:p>
    <w:p w14:paraId="61B53BEF" w14:textId="2246D0C1"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9E7501">
        <w:t>Entity 40</w:t>
      </w:r>
      <w:r w:rsidRPr="00226288">
        <w:t xml:space="preserve">, nor does it indicate that the entire municipality will operate with one uniform property tax rate. </w:t>
      </w:r>
      <w:r w:rsidRPr="00226288">
        <w:rPr>
          <w:rFonts w:eastAsia="Times New Roman"/>
          <w:szCs w:val="24"/>
        </w:rPr>
        <w:t xml:space="preserve">Because </w:t>
      </w:r>
      <w:r w:rsidR="009E7501">
        <w:rPr>
          <w:rFonts w:eastAsia="Times New Roman"/>
          <w:szCs w:val="24"/>
        </w:rPr>
        <w:t>Entity 40</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697D92C3"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867F36">
        <w:t>If</w:t>
      </w:r>
      <w:r w:rsidR="003011C3">
        <w:t xml:space="preserve"> created, </w:t>
      </w:r>
      <w:r w:rsidR="009E7501">
        <w:t>Entity 40</w:t>
      </w:r>
      <w:r w:rsidR="003011C3">
        <w:t xml:space="preserve"> could easily implement a </w:t>
      </w:r>
      <w:r w:rsidR="00A10B32">
        <w:t>two-tiered</w:t>
      </w:r>
      <w:r w:rsidR="003011C3">
        <w:t xml:space="preserve"> property tax regime similar to Fredericton and Dieppe where those inside the urban area and those outside are charged substantially different rates.  </w:t>
      </w:r>
    </w:p>
    <w:p w14:paraId="42654CD4" w14:textId="144C69C1" w:rsidR="00226288" w:rsidRPr="00226288" w:rsidRDefault="00226288" w:rsidP="00900633">
      <w:pPr>
        <w:jc w:val="both"/>
      </w:pPr>
      <w:r w:rsidRPr="00226288">
        <w:t xml:space="preserve">Overall, then, </w:t>
      </w:r>
      <w:r w:rsidR="009E7501">
        <w:t>Entity 40</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lastRenderedPageBreak/>
        <w:t>Division of Municipal and Provincial Responsibilities</w:t>
      </w:r>
    </w:p>
    <w:p w14:paraId="3936984A" w14:textId="5B679819" w:rsidR="00226288" w:rsidRPr="00226288" w:rsidRDefault="00226288" w:rsidP="00900633">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9E7501">
        <w:rPr>
          <w:rFonts w:eastAsia="Times New Roman"/>
          <w:szCs w:val="24"/>
        </w:rPr>
        <w:t>Entity 40</w:t>
      </w:r>
      <w:r w:rsidRPr="00226288">
        <w:rPr>
          <w:rFonts w:eastAsia="Times New Roman"/>
          <w:szCs w:val="24"/>
        </w:rPr>
        <w:t xml:space="preserve">, and the tax rates of the entity would reflect this level of service. </w:t>
      </w:r>
    </w:p>
    <w:p w14:paraId="7E7D20ED" w14:textId="14E2874A" w:rsidR="00226288" w:rsidRPr="00226288" w:rsidRDefault="007C3F3B" w:rsidP="00900633">
      <w:pPr>
        <w:jc w:val="both"/>
        <w:rPr>
          <w:rFonts w:eastAsia="Times New Roman"/>
          <w:szCs w:val="24"/>
        </w:rPr>
      </w:pPr>
      <w:r>
        <w:rPr>
          <w:noProof/>
          <w:szCs w:val="24"/>
        </w:rPr>
        <w:drawing>
          <wp:anchor distT="0" distB="0" distL="114300" distR="114300" simplePos="0" relativeHeight="251660288" behindDoc="0" locked="0" layoutInCell="1" allowOverlap="1" wp14:anchorId="3EFE97F1" wp14:editId="3CEE51DE">
            <wp:simplePos x="0" y="0"/>
            <wp:positionH relativeFrom="column">
              <wp:posOffset>2185035</wp:posOffset>
            </wp:positionH>
            <wp:positionV relativeFrom="paragraph">
              <wp:posOffset>72390</wp:posOffset>
            </wp:positionV>
            <wp:extent cx="3764280" cy="2075815"/>
            <wp:effectExtent l="0" t="0" r="7620" b="635"/>
            <wp:wrapThrough wrapText="bothSides">
              <wp:wrapPolygon edited="0">
                <wp:start x="0" y="0"/>
                <wp:lineTo x="0" y="21408"/>
                <wp:lineTo x="21534" y="21408"/>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12" t="9762" r="2519"/>
                    <a:stretch/>
                  </pic:blipFill>
                  <pic:spPr bwMode="auto">
                    <a:xfrm>
                      <a:off x="0" y="0"/>
                      <a:ext cx="3764280" cy="207581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08E7AC37" w:rsidR="00226288" w:rsidRPr="00226288" w:rsidRDefault="009E7501" w:rsidP="00900633">
      <w:pPr>
        <w:jc w:val="both"/>
        <w:rPr>
          <w:rFonts w:eastAsia="Times New Roman"/>
          <w:szCs w:val="24"/>
        </w:rPr>
      </w:pPr>
      <w:r>
        <w:rPr>
          <w:rFonts w:eastAsia="Times New Roman"/>
          <w:szCs w:val="24"/>
        </w:rPr>
        <w:t>Entity 40</w:t>
      </w:r>
      <w:r w:rsidR="00226288" w:rsidRPr="00226288">
        <w:rPr>
          <w:rFonts w:eastAsia="Times New Roman"/>
          <w:szCs w:val="24"/>
        </w:rPr>
        <w:t xml:space="preserve"> would belong to </w:t>
      </w:r>
      <w:r w:rsidR="00706AE4">
        <w:rPr>
          <w:rFonts w:eastAsia="Times New Roman"/>
          <w:szCs w:val="24"/>
        </w:rPr>
        <w:t xml:space="preserve">RSD </w:t>
      </w:r>
      <w:r w:rsidR="00F7227B">
        <w:rPr>
          <w:rFonts w:eastAsia="Times New Roman"/>
          <w:szCs w:val="24"/>
        </w:rPr>
        <w:t>9</w:t>
      </w:r>
      <w:r w:rsidR="00226288" w:rsidRPr="00226288">
        <w:rPr>
          <w:rFonts w:eastAsia="Times New Roman"/>
          <w:szCs w:val="24"/>
        </w:rPr>
        <w:t xml:space="preserve"> along with </w:t>
      </w:r>
      <w:bookmarkStart w:id="0" w:name="_Hlk40085397"/>
      <w:r>
        <w:rPr>
          <w:rFonts w:eastAsia="Times New Roman"/>
          <w:szCs w:val="24"/>
        </w:rPr>
        <w:t>Entity 40</w:t>
      </w:r>
      <w:r w:rsidR="003833C7">
        <w:rPr>
          <w:rFonts w:eastAsia="Times New Roman"/>
          <w:szCs w:val="24"/>
        </w:rPr>
        <w:t>, 39, 40, and 41</w:t>
      </w:r>
      <w:r w:rsidR="00226288" w:rsidRPr="00226288">
        <w:rPr>
          <w:rFonts w:eastAsia="Times New Roman"/>
          <w:szCs w:val="24"/>
        </w:rPr>
        <w:t>. As with each municipal entity</w:t>
      </w:r>
      <w:bookmarkEnd w:id="0"/>
      <w:r w:rsidR="00226288" w:rsidRPr="00226288">
        <w:rPr>
          <w:rFonts w:eastAsia="Times New Roman"/>
          <w:szCs w:val="24"/>
        </w:rPr>
        <w:t xml:space="preserve">, RSDs could conceivably be named, but this would be left to each to determine for itself. All </w:t>
      </w:r>
      <w:r w:rsidR="004F62AE">
        <w:rPr>
          <w:rFonts w:eastAsia="Times New Roman"/>
          <w:szCs w:val="24"/>
        </w:rPr>
        <w:t>e</w:t>
      </w:r>
      <w:r w:rsidR="00226288" w:rsidRPr="00226288">
        <w:rPr>
          <w:rFonts w:eastAsia="Times New Roman"/>
          <w:szCs w:val="24"/>
        </w:rPr>
        <w:t xml:space="preserv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597EB9D0" w14:textId="6DE293BA" w:rsidR="00267766" w:rsidRDefault="00226288" w:rsidP="00267766">
      <w:pPr>
        <w:jc w:val="both"/>
        <w:rPr>
          <w:rFonts w:eastAsia="Times New Roman"/>
          <w:szCs w:val="24"/>
        </w:rPr>
      </w:pPr>
      <w:r w:rsidRPr="00226288">
        <w:rPr>
          <w:rFonts w:eastAsia="Times New Roman"/>
          <w:szCs w:val="24"/>
        </w:rPr>
        <w:t xml:space="preserve">While this region is </w:t>
      </w:r>
      <w:r w:rsidR="00583617">
        <w:rPr>
          <w:rFonts w:eastAsia="Times New Roman"/>
          <w:szCs w:val="24"/>
        </w:rPr>
        <w:t>p</w:t>
      </w:r>
      <w:r w:rsidR="00F94808">
        <w:rPr>
          <w:rFonts w:eastAsia="Times New Roman"/>
          <w:szCs w:val="24"/>
        </w:rPr>
        <w:t>erhaps</w:t>
      </w:r>
      <w:r w:rsidRPr="00226288">
        <w:rPr>
          <w:rFonts w:eastAsia="Times New Roman"/>
          <w:szCs w:val="24"/>
        </w:rPr>
        <w:t xml:space="preserve"> too large to be incorporated into a single municipality, the populations nonetheless have a great deal of shared experiences and challenges. </w:t>
      </w:r>
      <w:r w:rsidR="00881CAD">
        <w:rPr>
          <w:rFonts w:eastAsia="Times New Roman"/>
          <w:szCs w:val="24"/>
        </w:rPr>
        <w:t xml:space="preserve">RSD </w:t>
      </w:r>
      <w:r w:rsidR="00F7227B">
        <w:rPr>
          <w:rFonts w:eastAsia="Times New Roman"/>
          <w:szCs w:val="24"/>
        </w:rPr>
        <w:t>9</w:t>
      </w:r>
      <w:r w:rsidR="00881CAD">
        <w:rPr>
          <w:rFonts w:eastAsia="Times New Roman"/>
          <w:szCs w:val="24"/>
        </w:rPr>
        <w:t xml:space="preserve"> covers</w:t>
      </w:r>
      <w:r w:rsidR="00337DB1">
        <w:rPr>
          <w:rFonts w:eastAsia="Times New Roman"/>
          <w:szCs w:val="24"/>
        </w:rPr>
        <w:t xml:space="preserve"> portions of</w:t>
      </w:r>
      <w:r w:rsidR="00881CAD">
        <w:rPr>
          <w:rFonts w:eastAsia="Times New Roman"/>
          <w:szCs w:val="24"/>
        </w:rPr>
        <w:t xml:space="preserve"> both </w:t>
      </w:r>
      <w:r w:rsidR="00337DB1">
        <w:rPr>
          <w:rFonts w:eastAsia="Times New Roman"/>
          <w:szCs w:val="24"/>
        </w:rPr>
        <w:t xml:space="preserve">Kings and </w:t>
      </w:r>
      <w:r w:rsidR="00E666AB">
        <w:rPr>
          <w:rFonts w:eastAsia="Times New Roman"/>
          <w:szCs w:val="24"/>
        </w:rPr>
        <w:t>Saint John</w:t>
      </w:r>
      <w:r w:rsidR="00881CAD">
        <w:rPr>
          <w:rFonts w:eastAsia="Times New Roman"/>
          <w:szCs w:val="24"/>
        </w:rPr>
        <w:t xml:space="preserve"> counties</w:t>
      </w:r>
      <w:r w:rsidR="00B84A24">
        <w:rPr>
          <w:rFonts w:eastAsia="Times New Roman"/>
          <w:szCs w:val="24"/>
        </w:rPr>
        <w:t xml:space="preserve"> and the distribution of commuters reflects the economic interdependence within these areas</w:t>
      </w:r>
      <w:r w:rsidR="00881CAD">
        <w:rPr>
          <w:rFonts w:eastAsia="Times New Roman"/>
          <w:szCs w:val="24"/>
        </w:rPr>
        <w:t xml:space="preserve">. </w:t>
      </w:r>
      <w:r w:rsidR="00545253">
        <w:rPr>
          <w:rFonts w:eastAsia="Times New Roman"/>
          <w:szCs w:val="24"/>
        </w:rPr>
        <w:t xml:space="preserve">In </w:t>
      </w:r>
      <w:r w:rsidR="00320964">
        <w:rPr>
          <w:rFonts w:eastAsia="Times New Roman"/>
          <w:szCs w:val="24"/>
        </w:rPr>
        <w:t xml:space="preserve">Entities </w:t>
      </w:r>
      <w:r w:rsidR="003E38DE">
        <w:rPr>
          <w:rFonts w:eastAsia="Times New Roman"/>
          <w:szCs w:val="24"/>
        </w:rPr>
        <w:t xml:space="preserve">38, 39, and 41 – the proposed entities included in Kings County – </w:t>
      </w:r>
      <w:r w:rsidR="00F43A8B">
        <w:rPr>
          <w:rFonts w:eastAsia="Times New Roman"/>
          <w:szCs w:val="24"/>
        </w:rPr>
        <w:t>the vast majority o</w:t>
      </w:r>
      <w:r w:rsidR="00F51495">
        <w:rPr>
          <w:rFonts w:eastAsia="Times New Roman"/>
          <w:szCs w:val="24"/>
        </w:rPr>
        <w:t>f</w:t>
      </w:r>
      <w:r w:rsidR="00F43A8B">
        <w:rPr>
          <w:rFonts w:eastAsia="Times New Roman"/>
          <w:szCs w:val="24"/>
        </w:rPr>
        <w:t xml:space="preserve"> </w:t>
      </w:r>
      <w:r w:rsidR="003E38DE">
        <w:rPr>
          <w:rFonts w:eastAsia="Times New Roman"/>
          <w:szCs w:val="24"/>
        </w:rPr>
        <w:t xml:space="preserve">commuters </w:t>
      </w:r>
      <w:r w:rsidR="00532034">
        <w:rPr>
          <w:rFonts w:eastAsia="Times New Roman"/>
          <w:szCs w:val="24"/>
        </w:rPr>
        <w:t xml:space="preserve">are </w:t>
      </w:r>
      <w:r w:rsidR="00F43A8B">
        <w:rPr>
          <w:rFonts w:eastAsia="Times New Roman"/>
          <w:szCs w:val="24"/>
        </w:rPr>
        <w:t>travel outside Kings county to work in Saint John.</w:t>
      </w:r>
      <w:r w:rsidR="004A0B86">
        <w:rPr>
          <w:rFonts w:eastAsia="Times New Roman"/>
          <w:szCs w:val="24"/>
        </w:rPr>
        <w:t xml:space="preserve"> While 71% of </w:t>
      </w:r>
      <w:r w:rsidR="00B26A16">
        <w:rPr>
          <w:rFonts w:eastAsia="Times New Roman"/>
          <w:szCs w:val="24"/>
        </w:rPr>
        <w:t>commuters in Kings County travel outside their county of origin</w:t>
      </w:r>
      <w:r w:rsidR="00864654">
        <w:rPr>
          <w:rFonts w:eastAsia="Times New Roman"/>
          <w:szCs w:val="24"/>
        </w:rPr>
        <w:t xml:space="preserve">, </w:t>
      </w:r>
      <w:r w:rsidR="008F6358">
        <w:rPr>
          <w:rFonts w:eastAsia="Times New Roman"/>
          <w:szCs w:val="24"/>
        </w:rPr>
        <w:t xml:space="preserve">76% of </w:t>
      </w:r>
      <w:r w:rsidR="009E7501">
        <w:rPr>
          <w:rFonts w:eastAsia="Times New Roman"/>
          <w:szCs w:val="24"/>
        </w:rPr>
        <w:t>Entity 40</w:t>
      </w:r>
      <w:r w:rsidR="008F6358">
        <w:rPr>
          <w:rFonts w:eastAsia="Times New Roman"/>
          <w:szCs w:val="24"/>
        </w:rPr>
        <w:t xml:space="preserve">’s </w:t>
      </w:r>
      <w:r w:rsidR="00B14655">
        <w:rPr>
          <w:rFonts w:eastAsia="Times New Roman"/>
          <w:szCs w:val="24"/>
        </w:rPr>
        <w:t xml:space="preserve">commuters leave their own communities but remain within Saint John County. Furthermore, </w:t>
      </w:r>
      <w:r w:rsidR="00DB287C">
        <w:rPr>
          <w:rFonts w:eastAsia="Times New Roman"/>
          <w:szCs w:val="24"/>
        </w:rPr>
        <w:t>91% of Entity 40’</w:t>
      </w:r>
      <w:r w:rsidR="00AC0F46">
        <w:rPr>
          <w:rFonts w:eastAsia="Times New Roman"/>
          <w:szCs w:val="24"/>
        </w:rPr>
        <w:t>s</w:t>
      </w:r>
      <w:r w:rsidR="00DB287C">
        <w:rPr>
          <w:rFonts w:eastAsia="Times New Roman"/>
          <w:szCs w:val="24"/>
        </w:rPr>
        <w:t xml:space="preserve"> commuters work within their own communit</w:t>
      </w:r>
      <w:r w:rsidR="00AC0F46">
        <w:rPr>
          <w:rFonts w:eastAsia="Times New Roman"/>
          <w:szCs w:val="24"/>
        </w:rPr>
        <w:t xml:space="preserve">y. </w:t>
      </w:r>
      <w:r w:rsidR="00DB287C">
        <w:rPr>
          <w:rFonts w:eastAsia="Times New Roman"/>
          <w:szCs w:val="24"/>
        </w:rPr>
        <w:t xml:space="preserve"> </w:t>
      </w:r>
    </w:p>
    <w:p w14:paraId="7BEFB9DD" w14:textId="6FB6E3BB" w:rsidR="00226288" w:rsidRDefault="0055074D" w:rsidP="00900633">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564B7531" w14:textId="6D57505F" w:rsidR="00732C08" w:rsidRDefault="00732C08" w:rsidP="00900633">
      <w:pPr>
        <w:jc w:val="both"/>
        <w:rPr>
          <w:rFonts w:eastAsia="Times New Roman"/>
          <w:szCs w:val="24"/>
        </w:rPr>
      </w:pPr>
      <w:r>
        <w:rPr>
          <w:rFonts w:eastAsia="Times New Roman"/>
          <w:szCs w:val="24"/>
        </w:rPr>
        <w:lastRenderedPageBreak/>
        <w:t xml:space="preserve">Alternatively, the </w:t>
      </w:r>
      <w:r w:rsidR="00E261ED">
        <w:rPr>
          <w:rFonts w:eastAsia="Times New Roman"/>
          <w:szCs w:val="24"/>
        </w:rPr>
        <w:t>communities included in RSD 9 could be amalgamated into a specialized Regional Municipality. While not advisable anywhere else in the province, th</w:t>
      </w:r>
      <w:r w:rsidR="009C2709">
        <w:rPr>
          <w:rFonts w:eastAsia="Times New Roman"/>
          <w:szCs w:val="24"/>
        </w:rPr>
        <w:t xml:space="preserve">e communities in the Greater Saint John area could conceivably be combined into one larger entity considering their pre-existing collaborative service provision and </w:t>
      </w:r>
      <w:r w:rsidR="00A3041B">
        <w:rPr>
          <w:rFonts w:eastAsia="Times New Roman"/>
          <w:szCs w:val="24"/>
        </w:rPr>
        <w:t xml:space="preserve">integrated economies. </w:t>
      </w:r>
    </w:p>
    <w:p w14:paraId="6B77EDCE" w14:textId="1712A9A5" w:rsidR="00F43B20" w:rsidRPr="00226288" w:rsidRDefault="009E0534" w:rsidP="00900633">
      <w:pPr>
        <w:jc w:val="both"/>
        <w:rPr>
          <w:rFonts w:eastAsia="Times New Roman"/>
          <w:szCs w:val="24"/>
        </w:rPr>
      </w:pPr>
      <w:r>
        <w:rPr>
          <w:noProof/>
          <w:szCs w:val="24"/>
        </w:rPr>
        <w:drawing>
          <wp:anchor distT="0" distB="0" distL="114300" distR="114300" simplePos="0" relativeHeight="251662336" behindDoc="0" locked="0" layoutInCell="1" allowOverlap="1" wp14:anchorId="5DD9979D" wp14:editId="14B8BFB8">
            <wp:simplePos x="0" y="0"/>
            <wp:positionH relativeFrom="column">
              <wp:posOffset>4223385</wp:posOffset>
            </wp:positionH>
            <wp:positionV relativeFrom="paragraph">
              <wp:posOffset>40005</wp:posOffset>
            </wp:positionV>
            <wp:extent cx="1719580" cy="2423795"/>
            <wp:effectExtent l="0" t="0" r="0" b="0"/>
            <wp:wrapThrough wrapText="bothSides">
              <wp:wrapPolygon edited="0">
                <wp:start x="0" y="0"/>
                <wp:lineTo x="0" y="21391"/>
                <wp:lineTo x="21297" y="21391"/>
                <wp:lineTo x="2129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12" t="41712" r="65599" b="5442"/>
                    <a:stretch/>
                  </pic:blipFill>
                  <pic:spPr bwMode="auto">
                    <a:xfrm>
                      <a:off x="0" y="0"/>
                      <a:ext cx="1719580" cy="2423795"/>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F9">
        <w:rPr>
          <w:rFonts w:eastAsia="Times New Roman"/>
          <w:szCs w:val="24"/>
        </w:rPr>
        <w:t>This hypothetical Regional Munici</w:t>
      </w:r>
      <w:r w:rsidR="00E151AB">
        <w:rPr>
          <w:rFonts w:eastAsia="Times New Roman"/>
          <w:szCs w:val="24"/>
        </w:rPr>
        <w:t xml:space="preserve">pality would need to be organized in such a way as to offset the dominance of the existing City of Saint John while </w:t>
      </w:r>
      <w:r w:rsidR="00EF7FC8">
        <w:rPr>
          <w:rFonts w:eastAsia="Times New Roman"/>
          <w:szCs w:val="24"/>
        </w:rPr>
        <w:t xml:space="preserve">working to use the collective resources available to the region for the benefit of all. </w:t>
      </w:r>
      <w:r w:rsidR="00B2132D">
        <w:rPr>
          <w:rFonts w:eastAsia="Times New Roman"/>
          <w:szCs w:val="24"/>
        </w:rPr>
        <w:t>The RM’s population would be nearly twice that of Saint John</w:t>
      </w:r>
      <w:r w:rsidR="00893641">
        <w:rPr>
          <w:rFonts w:eastAsia="Times New Roman"/>
          <w:szCs w:val="24"/>
        </w:rPr>
        <w:t xml:space="preserve">, with the total population of all other included local governance entities being </w:t>
      </w:r>
      <w:r w:rsidR="00166ADB">
        <w:rPr>
          <w:rFonts w:eastAsia="Times New Roman"/>
          <w:szCs w:val="24"/>
        </w:rPr>
        <w:t>nearly the same as tha</w:t>
      </w:r>
      <w:r w:rsidR="004472D3">
        <w:rPr>
          <w:rFonts w:eastAsia="Times New Roman"/>
          <w:szCs w:val="24"/>
        </w:rPr>
        <w:t xml:space="preserve">t </w:t>
      </w:r>
      <w:r w:rsidR="00C05EFF">
        <w:rPr>
          <w:rFonts w:eastAsia="Times New Roman"/>
          <w:szCs w:val="24"/>
        </w:rPr>
        <w:t xml:space="preserve">of Saint John proper. Accordingly, as with the administrative boundaries proposed in the rest of the </w:t>
      </w:r>
      <w:r w:rsidR="007D7C12">
        <w:rPr>
          <w:rFonts w:eastAsia="Times New Roman"/>
          <w:szCs w:val="24"/>
        </w:rPr>
        <w:t xml:space="preserve">new framework, the administrative and ward boundaries of a potential RM of Saint John would need to </w:t>
      </w:r>
      <w:r w:rsidR="00333F75">
        <w:rPr>
          <w:rFonts w:eastAsia="Times New Roman"/>
          <w:szCs w:val="24"/>
        </w:rPr>
        <w:t>disregard existing or historic boundaries</w:t>
      </w:r>
      <w:r w:rsidR="0003016C">
        <w:rPr>
          <w:rFonts w:eastAsia="Times New Roman"/>
          <w:szCs w:val="24"/>
        </w:rPr>
        <w:t>.</w:t>
      </w:r>
      <w:r w:rsidR="0095563A">
        <w:rPr>
          <w:rFonts w:eastAsia="Times New Roman"/>
          <w:szCs w:val="24"/>
        </w:rPr>
        <w:t xml:space="preserve"> </w:t>
      </w:r>
      <w:r w:rsidR="000678AE">
        <w:rPr>
          <w:rFonts w:eastAsia="Times New Roman"/>
          <w:szCs w:val="24"/>
        </w:rPr>
        <w:t xml:space="preserve">Like other contiguous but administratively independent communities around the province, </w:t>
      </w:r>
      <w:r w:rsidR="003F29F3">
        <w:rPr>
          <w:rFonts w:eastAsia="Times New Roman"/>
          <w:szCs w:val="24"/>
        </w:rPr>
        <w:t>the</w:t>
      </w:r>
      <w:r w:rsidR="002833F5">
        <w:rPr>
          <w:rFonts w:eastAsia="Times New Roman"/>
          <w:szCs w:val="24"/>
        </w:rPr>
        <w:t xml:space="preserve"> differences between the</w:t>
      </w:r>
      <w:r w:rsidR="003F29F3">
        <w:rPr>
          <w:rFonts w:eastAsia="Times New Roman"/>
          <w:szCs w:val="24"/>
        </w:rPr>
        <w:t xml:space="preserve"> communities of the greater Saint John area are </w:t>
      </w:r>
      <w:r w:rsidR="002833F5">
        <w:rPr>
          <w:rFonts w:eastAsia="Times New Roman"/>
          <w:szCs w:val="24"/>
        </w:rPr>
        <w:t xml:space="preserve">exacerbated by the narcissism of minor difference. </w:t>
      </w:r>
      <w:r w:rsidR="008531C4">
        <w:rPr>
          <w:rFonts w:eastAsia="Times New Roman"/>
          <w:szCs w:val="24"/>
        </w:rPr>
        <w:t xml:space="preserve">When attempting to reorganize </w:t>
      </w:r>
      <w:r w:rsidR="00D0261E">
        <w:rPr>
          <w:rFonts w:eastAsia="Times New Roman"/>
          <w:szCs w:val="24"/>
        </w:rPr>
        <w:t>the wards or administrative subdivisions of the potential RM then</w:t>
      </w:r>
      <w:r w:rsidR="00185354">
        <w:rPr>
          <w:rFonts w:eastAsia="Times New Roman"/>
          <w:szCs w:val="24"/>
        </w:rPr>
        <w:t xml:space="preserve">, it is important to re-examine which populations actually have the most in common </w:t>
      </w:r>
      <w:r w:rsidR="004611A3">
        <w:rPr>
          <w:rFonts w:eastAsia="Times New Roman"/>
          <w:szCs w:val="24"/>
        </w:rPr>
        <w:t>regardless</w:t>
      </w:r>
      <w:r w:rsidR="00185354">
        <w:rPr>
          <w:rFonts w:eastAsia="Times New Roman"/>
          <w:szCs w:val="24"/>
        </w:rPr>
        <w:t xml:space="preserve"> of </w:t>
      </w:r>
      <w:r w:rsidR="004611A3">
        <w:rPr>
          <w:rFonts w:eastAsia="Times New Roman"/>
          <w:szCs w:val="24"/>
        </w:rPr>
        <w:t xml:space="preserve">anachronistic administrative boundaries. For example, </w:t>
      </w:r>
      <w:r w:rsidR="0049184C">
        <w:rPr>
          <w:rFonts w:eastAsia="Times New Roman"/>
          <w:szCs w:val="24"/>
        </w:rPr>
        <w:t>the populations of Grand Bay</w:t>
      </w:r>
      <w:r w:rsidR="004D216A">
        <w:rPr>
          <w:rFonts w:eastAsia="Times New Roman"/>
          <w:szCs w:val="24"/>
        </w:rPr>
        <w:t xml:space="preserve">-Westfield and </w:t>
      </w:r>
      <w:r w:rsidR="00F37D9B">
        <w:rPr>
          <w:rFonts w:eastAsia="Times New Roman"/>
          <w:szCs w:val="24"/>
        </w:rPr>
        <w:t xml:space="preserve">western Saint John along the Westfield Road are far more similar than the populations </w:t>
      </w:r>
      <w:r w:rsidR="008F0B17">
        <w:rPr>
          <w:rFonts w:eastAsia="Times New Roman"/>
          <w:szCs w:val="24"/>
        </w:rPr>
        <w:t>included in Saint John’s broader “West side.”</w:t>
      </w:r>
      <w:r w:rsidR="00760C12">
        <w:rPr>
          <w:rFonts w:eastAsia="Times New Roman"/>
          <w:szCs w:val="24"/>
        </w:rPr>
        <w:t xml:space="preserve"> </w:t>
      </w:r>
      <w:r w:rsidR="008567D7">
        <w:rPr>
          <w:rFonts w:eastAsia="Times New Roman"/>
          <w:szCs w:val="24"/>
        </w:rPr>
        <w:t>Organizing</w:t>
      </w:r>
      <w:r w:rsidR="00935703">
        <w:rPr>
          <w:rFonts w:eastAsia="Times New Roman"/>
          <w:szCs w:val="24"/>
        </w:rPr>
        <w:t xml:space="preserve"> new wards and </w:t>
      </w:r>
      <w:r w:rsidR="008567D7">
        <w:rPr>
          <w:rFonts w:eastAsia="Times New Roman"/>
          <w:szCs w:val="24"/>
        </w:rPr>
        <w:t>adm</w:t>
      </w:r>
      <w:r w:rsidR="00935703">
        <w:rPr>
          <w:rFonts w:eastAsia="Times New Roman"/>
          <w:szCs w:val="24"/>
        </w:rPr>
        <w:t xml:space="preserve">inistrative subdivisions along these lines will allow for the creation of new and harmonious community identities and importantly for the </w:t>
      </w:r>
      <w:r w:rsidR="00400ED0">
        <w:rPr>
          <w:rFonts w:eastAsia="Times New Roman"/>
          <w:szCs w:val="24"/>
        </w:rPr>
        <w:t>populations</w:t>
      </w:r>
      <w:r w:rsidR="00935703">
        <w:rPr>
          <w:rFonts w:eastAsia="Times New Roman"/>
          <w:szCs w:val="24"/>
        </w:rPr>
        <w:t xml:space="preserve"> of </w:t>
      </w:r>
      <w:r w:rsidR="00907E39">
        <w:rPr>
          <w:rFonts w:eastAsia="Times New Roman"/>
          <w:szCs w:val="24"/>
        </w:rPr>
        <w:t xml:space="preserve">the existing communities other than Saint John would help </w:t>
      </w:r>
      <w:r w:rsidR="00400ED0">
        <w:rPr>
          <w:rFonts w:eastAsia="Times New Roman"/>
          <w:szCs w:val="24"/>
        </w:rPr>
        <w:t xml:space="preserve">decrease the population center’s dominance of the region’s </w:t>
      </w:r>
      <w:r w:rsidR="00F43B20">
        <w:rPr>
          <w:rFonts w:eastAsia="Times New Roman"/>
          <w:szCs w:val="24"/>
        </w:rPr>
        <w:t xml:space="preserve">representative institutions. </w:t>
      </w:r>
    </w:p>
    <w:p w14:paraId="36BA5224" w14:textId="162B3F1D" w:rsidR="00226288" w:rsidRPr="00226288" w:rsidRDefault="00226288" w:rsidP="00226288">
      <w:pPr>
        <w:rPr>
          <w:rFonts w:eastAsia="Times New Roman"/>
          <w:b/>
          <w:bCs/>
          <w:szCs w:val="24"/>
        </w:rPr>
      </w:pPr>
      <w:r w:rsidRPr="00226288">
        <w:rPr>
          <w:rFonts w:eastAsia="Times New Roman"/>
          <w:b/>
          <w:bCs/>
          <w:szCs w:val="24"/>
        </w:rPr>
        <w:t>Summation</w:t>
      </w:r>
    </w:p>
    <w:p w14:paraId="24EDF67D" w14:textId="6DD8F4FE" w:rsidR="00226288" w:rsidRPr="00226288" w:rsidRDefault="00226288" w:rsidP="00226288">
      <w:pPr>
        <w:rPr>
          <w:rFonts w:eastAsia="Times New Roman"/>
          <w:szCs w:val="24"/>
        </w:rPr>
      </w:pPr>
      <w:r w:rsidRPr="00226288">
        <w:rPr>
          <w:rFonts w:eastAsia="Times New Roman"/>
          <w:szCs w:val="24"/>
        </w:rPr>
        <w:t xml:space="preserve">Overall, </w:t>
      </w:r>
      <w:r w:rsidR="009E7501">
        <w:rPr>
          <w:rFonts w:eastAsia="Times New Roman"/>
          <w:szCs w:val="24"/>
        </w:rPr>
        <w:t>Entity 40</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B2F79" w14:textId="77777777" w:rsidR="00A769E1" w:rsidRDefault="00A769E1" w:rsidP="00533253">
      <w:pPr>
        <w:spacing w:after="0" w:line="240" w:lineRule="auto"/>
      </w:pPr>
      <w:r>
        <w:separator/>
      </w:r>
    </w:p>
  </w:endnote>
  <w:endnote w:type="continuationSeparator" w:id="0">
    <w:p w14:paraId="12DF2ADF" w14:textId="77777777" w:rsidR="00A769E1" w:rsidRDefault="00A769E1" w:rsidP="00533253">
      <w:pPr>
        <w:spacing w:after="0" w:line="240" w:lineRule="auto"/>
      </w:pPr>
      <w:r>
        <w:continuationSeparator/>
      </w:r>
    </w:p>
  </w:endnote>
  <w:endnote w:type="continuationNotice" w:id="1">
    <w:p w14:paraId="3E857673" w14:textId="77777777" w:rsidR="00A769E1" w:rsidRDefault="00A769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128C6" w14:textId="77777777" w:rsidR="00A769E1" w:rsidRDefault="00A769E1" w:rsidP="00533253">
      <w:pPr>
        <w:spacing w:after="0" w:line="240" w:lineRule="auto"/>
      </w:pPr>
      <w:r>
        <w:separator/>
      </w:r>
    </w:p>
  </w:footnote>
  <w:footnote w:type="continuationSeparator" w:id="0">
    <w:p w14:paraId="6340CFFA" w14:textId="77777777" w:rsidR="00A769E1" w:rsidRDefault="00A769E1" w:rsidP="00533253">
      <w:pPr>
        <w:spacing w:after="0" w:line="240" w:lineRule="auto"/>
      </w:pPr>
      <w:r>
        <w:continuationSeparator/>
      </w:r>
    </w:p>
  </w:footnote>
  <w:footnote w:type="continuationNotice" w:id="1">
    <w:p w14:paraId="30751452" w14:textId="77777777" w:rsidR="00A769E1" w:rsidRDefault="00A769E1">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16C"/>
    <w:rsid w:val="00030AEF"/>
    <w:rsid w:val="00031BC5"/>
    <w:rsid w:val="00034174"/>
    <w:rsid w:val="000356BA"/>
    <w:rsid w:val="000361EA"/>
    <w:rsid w:val="000366A7"/>
    <w:rsid w:val="00037D03"/>
    <w:rsid w:val="000401C1"/>
    <w:rsid w:val="0004189C"/>
    <w:rsid w:val="000467DA"/>
    <w:rsid w:val="00047B47"/>
    <w:rsid w:val="00050419"/>
    <w:rsid w:val="00050D78"/>
    <w:rsid w:val="000521C5"/>
    <w:rsid w:val="00054665"/>
    <w:rsid w:val="0005610E"/>
    <w:rsid w:val="00056919"/>
    <w:rsid w:val="00060188"/>
    <w:rsid w:val="00061B5D"/>
    <w:rsid w:val="00061F21"/>
    <w:rsid w:val="00062C5C"/>
    <w:rsid w:val="00063FB6"/>
    <w:rsid w:val="000654DF"/>
    <w:rsid w:val="0006709B"/>
    <w:rsid w:val="000678AE"/>
    <w:rsid w:val="000705CD"/>
    <w:rsid w:val="000710D4"/>
    <w:rsid w:val="0007121F"/>
    <w:rsid w:val="000726CD"/>
    <w:rsid w:val="0007315E"/>
    <w:rsid w:val="00074531"/>
    <w:rsid w:val="000778C0"/>
    <w:rsid w:val="000804BC"/>
    <w:rsid w:val="00081AC4"/>
    <w:rsid w:val="000832B3"/>
    <w:rsid w:val="0008735F"/>
    <w:rsid w:val="00091112"/>
    <w:rsid w:val="00093840"/>
    <w:rsid w:val="000947F5"/>
    <w:rsid w:val="0009529B"/>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582"/>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0F7BD4"/>
    <w:rsid w:val="0010084F"/>
    <w:rsid w:val="001010F7"/>
    <w:rsid w:val="00101D9B"/>
    <w:rsid w:val="00102CB7"/>
    <w:rsid w:val="0010518B"/>
    <w:rsid w:val="0010753B"/>
    <w:rsid w:val="00110A6A"/>
    <w:rsid w:val="00111E79"/>
    <w:rsid w:val="001120C5"/>
    <w:rsid w:val="00113BAA"/>
    <w:rsid w:val="001217B8"/>
    <w:rsid w:val="0012393A"/>
    <w:rsid w:val="001333B6"/>
    <w:rsid w:val="00134A12"/>
    <w:rsid w:val="00134CB1"/>
    <w:rsid w:val="0013553C"/>
    <w:rsid w:val="0013603A"/>
    <w:rsid w:val="00136F8C"/>
    <w:rsid w:val="00143193"/>
    <w:rsid w:val="001434FE"/>
    <w:rsid w:val="00144572"/>
    <w:rsid w:val="00146025"/>
    <w:rsid w:val="00146E92"/>
    <w:rsid w:val="00147376"/>
    <w:rsid w:val="00150658"/>
    <w:rsid w:val="0015194D"/>
    <w:rsid w:val="00151FDA"/>
    <w:rsid w:val="00155057"/>
    <w:rsid w:val="00156AEF"/>
    <w:rsid w:val="00157164"/>
    <w:rsid w:val="001577D4"/>
    <w:rsid w:val="0016153E"/>
    <w:rsid w:val="001618D5"/>
    <w:rsid w:val="00162133"/>
    <w:rsid w:val="00163993"/>
    <w:rsid w:val="001640B8"/>
    <w:rsid w:val="00166ADB"/>
    <w:rsid w:val="001713C5"/>
    <w:rsid w:val="00171BE4"/>
    <w:rsid w:val="00171F0E"/>
    <w:rsid w:val="00172214"/>
    <w:rsid w:val="00177BBC"/>
    <w:rsid w:val="00181A0E"/>
    <w:rsid w:val="00182F1D"/>
    <w:rsid w:val="00183857"/>
    <w:rsid w:val="00185354"/>
    <w:rsid w:val="00190B92"/>
    <w:rsid w:val="00191519"/>
    <w:rsid w:val="00194CEE"/>
    <w:rsid w:val="00195492"/>
    <w:rsid w:val="001961F9"/>
    <w:rsid w:val="001A0135"/>
    <w:rsid w:val="001A086F"/>
    <w:rsid w:val="001A21A9"/>
    <w:rsid w:val="001A4616"/>
    <w:rsid w:val="001A4A6F"/>
    <w:rsid w:val="001A5EB0"/>
    <w:rsid w:val="001B0CCA"/>
    <w:rsid w:val="001B0FF6"/>
    <w:rsid w:val="001B197B"/>
    <w:rsid w:val="001B2623"/>
    <w:rsid w:val="001B479C"/>
    <w:rsid w:val="001B4F0F"/>
    <w:rsid w:val="001B4F70"/>
    <w:rsid w:val="001C04E8"/>
    <w:rsid w:val="001C2040"/>
    <w:rsid w:val="001C359A"/>
    <w:rsid w:val="001C38B6"/>
    <w:rsid w:val="001D00C9"/>
    <w:rsid w:val="001D2EA1"/>
    <w:rsid w:val="001D2F8A"/>
    <w:rsid w:val="001D5074"/>
    <w:rsid w:val="001D52F9"/>
    <w:rsid w:val="001D6C80"/>
    <w:rsid w:val="001E40E6"/>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4AD6"/>
    <w:rsid w:val="00205CFB"/>
    <w:rsid w:val="00210E4A"/>
    <w:rsid w:val="002120AC"/>
    <w:rsid w:val="0021291A"/>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93A"/>
    <w:rsid w:val="00273118"/>
    <w:rsid w:val="0027527C"/>
    <w:rsid w:val="00275F78"/>
    <w:rsid w:val="002821E2"/>
    <w:rsid w:val="00282A5E"/>
    <w:rsid w:val="002833F5"/>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5B84"/>
    <w:rsid w:val="002E0EF6"/>
    <w:rsid w:val="002E19C3"/>
    <w:rsid w:val="002E2173"/>
    <w:rsid w:val="002E58B1"/>
    <w:rsid w:val="002E6D98"/>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0964"/>
    <w:rsid w:val="003219CB"/>
    <w:rsid w:val="0032204E"/>
    <w:rsid w:val="0032259E"/>
    <w:rsid w:val="0032547E"/>
    <w:rsid w:val="00326D5B"/>
    <w:rsid w:val="00327E1F"/>
    <w:rsid w:val="00331342"/>
    <w:rsid w:val="00332457"/>
    <w:rsid w:val="00333276"/>
    <w:rsid w:val="00333F75"/>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447C"/>
    <w:rsid w:val="00365444"/>
    <w:rsid w:val="00365826"/>
    <w:rsid w:val="00365E92"/>
    <w:rsid w:val="0036789A"/>
    <w:rsid w:val="003707D4"/>
    <w:rsid w:val="0037091E"/>
    <w:rsid w:val="00375326"/>
    <w:rsid w:val="003753C3"/>
    <w:rsid w:val="0037545A"/>
    <w:rsid w:val="00376762"/>
    <w:rsid w:val="0037703C"/>
    <w:rsid w:val="00377EAB"/>
    <w:rsid w:val="00380BF5"/>
    <w:rsid w:val="00383314"/>
    <w:rsid w:val="003833C7"/>
    <w:rsid w:val="0038365B"/>
    <w:rsid w:val="00385AF5"/>
    <w:rsid w:val="00386C93"/>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C66"/>
    <w:rsid w:val="003E1657"/>
    <w:rsid w:val="003E31DA"/>
    <w:rsid w:val="003E381F"/>
    <w:rsid w:val="003E38DE"/>
    <w:rsid w:val="003E41B8"/>
    <w:rsid w:val="003E4987"/>
    <w:rsid w:val="003E682B"/>
    <w:rsid w:val="003F190B"/>
    <w:rsid w:val="003F29F3"/>
    <w:rsid w:val="003F2CF4"/>
    <w:rsid w:val="003F6376"/>
    <w:rsid w:val="003F78B1"/>
    <w:rsid w:val="003F7C1D"/>
    <w:rsid w:val="0040016D"/>
    <w:rsid w:val="00400690"/>
    <w:rsid w:val="00400E1B"/>
    <w:rsid w:val="00400ED0"/>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2D3"/>
    <w:rsid w:val="00447790"/>
    <w:rsid w:val="0045109F"/>
    <w:rsid w:val="0045117A"/>
    <w:rsid w:val="00452AB5"/>
    <w:rsid w:val="00454A94"/>
    <w:rsid w:val="00456C6D"/>
    <w:rsid w:val="004570D0"/>
    <w:rsid w:val="004576A5"/>
    <w:rsid w:val="004611A3"/>
    <w:rsid w:val="004652CF"/>
    <w:rsid w:val="00465B33"/>
    <w:rsid w:val="00465B44"/>
    <w:rsid w:val="00466572"/>
    <w:rsid w:val="0047091C"/>
    <w:rsid w:val="00470C92"/>
    <w:rsid w:val="004711F9"/>
    <w:rsid w:val="0047285E"/>
    <w:rsid w:val="00472C66"/>
    <w:rsid w:val="004737AE"/>
    <w:rsid w:val="00473BB6"/>
    <w:rsid w:val="00476544"/>
    <w:rsid w:val="004803CE"/>
    <w:rsid w:val="00482DBE"/>
    <w:rsid w:val="004832BE"/>
    <w:rsid w:val="0049184C"/>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43C5"/>
    <w:rsid w:val="004B618F"/>
    <w:rsid w:val="004B6A9C"/>
    <w:rsid w:val="004B75B8"/>
    <w:rsid w:val="004C2705"/>
    <w:rsid w:val="004C2B16"/>
    <w:rsid w:val="004C2B8E"/>
    <w:rsid w:val="004C36B5"/>
    <w:rsid w:val="004C50F2"/>
    <w:rsid w:val="004C7794"/>
    <w:rsid w:val="004D0BAF"/>
    <w:rsid w:val="004D1279"/>
    <w:rsid w:val="004D216A"/>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6AB4"/>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27CA8"/>
    <w:rsid w:val="00532034"/>
    <w:rsid w:val="00532617"/>
    <w:rsid w:val="00533253"/>
    <w:rsid w:val="005335FD"/>
    <w:rsid w:val="005336CE"/>
    <w:rsid w:val="00534A60"/>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78EF"/>
    <w:rsid w:val="005C799D"/>
    <w:rsid w:val="005C7B3C"/>
    <w:rsid w:val="005D06CF"/>
    <w:rsid w:val="005D4796"/>
    <w:rsid w:val="005D5844"/>
    <w:rsid w:val="005D72C9"/>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3FD2"/>
    <w:rsid w:val="006040A2"/>
    <w:rsid w:val="00606060"/>
    <w:rsid w:val="00606D8E"/>
    <w:rsid w:val="00610505"/>
    <w:rsid w:val="00610721"/>
    <w:rsid w:val="00610DF2"/>
    <w:rsid w:val="006124D2"/>
    <w:rsid w:val="00612EFD"/>
    <w:rsid w:val="0061521B"/>
    <w:rsid w:val="0061632A"/>
    <w:rsid w:val="006233C2"/>
    <w:rsid w:val="00623F93"/>
    <w:rsid w:val="0062449A"/>
    <w:rsid w:val="00624FDC"/>
    <w:rsid w:val="00625171"/>
    <w:rsid w:val="00625C6E"/>
    <w:rsid w:val="00626347"/>
    <w:rsid w:val="00631D13"/>
    <w:rsid w:val="00635CB1"/>
    <w:rsid w:val="00637CA8"/>
    <w:rsid w:val="006406FC"/>
    <w:rsid w:val="00640973"/>
    <w:rsid w:val="00641FCF"/>
    <w:rsid w:val="006437C2"/>
    <w:rsid w:val="0064551D"/>
    <w:rsid w:val="00647E20"/>
    <w:rsid w:val="00652643"/>
    <w:rsid w:val="006551B6"/>
    <w:rsid w:val="00657EBA"/>
    <w:rsid w:val="00661053"/>
    <w:rsid w:val="006618B9"/>
    <w:rsid w:val="00661929"/>
    <w:rsid w:val="006625CF"/>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02DF"/>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135F"/>
    <w:rsid w:val="007218E7"/>
    <w:rsid w:val="00722628"/>
    <w:rsid w:val="00722C51"/>
    <w:rsid w:val="0072646B"/>
    <w:rsid w:val="007266D3"/>
    <w:rsid w:val="00732773"/>
    <w:rsid w:val="00732C08"/>
    <w:rsid w:val="00733139"/>
    <w:rsid w:val="00734B3F"/>
    <w:rsid w:val="007353DE"/>
    <w:rsid w:val="00737C46"/>
    <w:rsid w:val="00740251"/>
    <w:rsid w:val="00741C67"/>
    <w:rsid w:val="007540B3"/>
    <w:rsid w:val="0075617E"/>
    <w:rsid w:val="00756739"/>
    <w:rsid w:val="00760C12"/>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5DAD"/>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D72CD"/>
    <w:rsid w:val="007D7C12"/>
    <w:rsid w:val="007E0F92"/>
    <w:rsid w:val="007E140A"/>
    <w:rsid w:val="007E279D"/>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370"/>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508C3"/>
    <w:rsid w:val="00852005"/>
    <w:rsid w:val="008531C4"/>
    <w:rsid w:val="0085387B"/>
    <w:rsid w:val="00853E3A"/>
    <w:rsid w:val="00855D67"/>
    <w:rsid w:val="008567D7"/>
    <w:rsid w:val="00860BC3"/>
    <w:rsid w:val="0086227A"/>
    <w:rsid w:val="00862A5B"/>
    <w:rsid w:val="00864654"/>
    <w:rsid w:val="00866A57"/>
    <w:rsid w:val="00867F36"/>
    <w:rsid w:val="00871BA6"/>
    <w:rsid w:val="00872051"/>
    <w:rsid w:val="00874E94"/>
    <w:rsid w:val="00876569"/>
    <w:rsid w:val="00877A83"/>
    <w:rsid w:val="008806C2"/>
    <w:rsid w:val="00880DC2"/>
    <w:rsid w:val="00881CAD"/>
    <w:rsid w:val="0088243B"/>
    <w:rsid w:val="00886CC5"/>
    <w:rsid w:val="00890F6D"/>
    <w:rsid w:val="00892334"/>
    <w:rsid w:val="00893641"/>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59D"/>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0B17"/>
    <w:rsid w:val="008F1A52"/>
    <w:rsid w:val="008F227F"/>
    <w:rsid w:val="008F3D10"/>
    <w:rsid w:val="008F4011"/>
    <w:rsid w:val="008F429E"/>
    <w:rsid w:val="008F6358"/>
    <w:rsid w:val="008F77A7"/>
    <w:rsid w:val="00900633"/>
    <w:rsid w:val="00901B98"/>
    <w:rsid w:val="00902E69"/>
    <w:rsid w:val="0090316A"/>
    <w:rsid w:val="0090440E"/>
    <w:rsid w:val="009056A3"/>
    <w:rsid w:val="00906535"/>
    <w:rsid w:val="00907990"/>
    <w:rsid w:val="00907E39"/>
    <w:rsid w:val="009106B0"/>
    <w:rsid w:val="00910DAD"/>
    <w:rsid w:val="00911020"/>
    <w:rsid w:val="009113A3"/>
    <w:rsid w:val="00914776"/>
    <w:rsid w:val="0091576F"/>
    <w:rsid w:val="00915C3C"/>
    <w:rsid w:val="00916094"/>
    <w:rsid w:val="0092049E"/>
    <w:rsid w:val="00923496"/>
    <w:rsid w:val="009256B7"/>
    <w:rsid w:val="00930141"/>
    <w:rsid w:val="00930CE8"/>
    <w:rsid w:val="009326EC"/>
    <w:rsid w:val="00935703"/>
    <w:rsid w:val="00937062"/>
    <w:rsid w:val="0094032D"/>
    <w:rsid w:val="009407F0"/>
    <w:rsid w:val="009420BB"/>
    <w:rsid w:val="009424CD"/>
    <w:rsid w:val="00943184"/>
    <w:rsid w:val="00944409"/>
    <w:rsid w:val="00946D10"/>
    <w:rsid w:val="0095089B"/>
    <w:rsid w:val="00951EA9"/>
    <w:rsid w:val="00952609"/>
    <w:rsid w:val="009534A1"/>
    <w:rsid w:val="009543B0"/>
    <w:rsid w:val="0095563A"/>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2709"/>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534"/>
    <w:rsid w:val="009E0814"/>
    <w:rsid w:val="009E1218"/>
    <w:rsid w:val="009E1870"/>
    <w:rsid w:val="009E27E2"/>
    <w:rsid w:val="009E282B"/>
    <w:rsid w:val="009E34FE"/>
    <w:rsid w:val="009E5962"/>
    <w:rsid w:val="009E7501"/>
    <w:rsid w:val="009F25C7"/>
    <w:rsid w:val="009F55AA"/>
    <w:rsid w:val="009F56DC"/>
    <w:rsid w:val="009F5BA0"/>
    <w:rsid w:val="00A00C83"/>
    <w:rsid w:val="00A02383"/>
    <w:rsid w:val="00A02439"/>
    <w:rsid w:val="00A03051"/>
    <w:rsid w:val="00A04221"/>
    <w:rsid w:val="00A06D0D"/>
    <w:rsid w:val="00A0784D"/>
    <w:rsid w:val="00A10B32"/>
    <w:rsid w:val="00A14EC5"/>
    <w:rsid w:val="00A20D5A"/>
    <w:rsid w:val="00A22AC6"/>
    <w:rsid w:val="00A236FC"/>
    <w:rsid w:val="00A254F0"/>
    <w:rsid w:val="00A25514"/>
    <w:rsid w:val="00A259C1"/>
    <w:rsid w:val="00A25B67"/>
    <w:rsid w:val="00A26BCF"/>
    <w:rsid w:val="00A26F85"/>
    <w:rsid w:val="00A271D1"/>
    <w:rsid w:val="00A27295"/>
    <w:rsid w:val="00A27EAA"/>
    <w:rsid w:val="00A3041B"/>
    <w:rsid w:val="00A33695"/>
    <w:rsid w:val="00A33A82"/>
    <w:rsid w:val="00A36285"/>
    <w:rsid w:val="00A36538"/>
    <w:rsid w:val="00A41E32"/>
    <w:rsid w:val="00A4208B"/>
    <w:rsid w:val="00A43C84"/>
    <w:rsid w:val="00A45579"/>
    <w:rsid w:val="00A47131"/>
    <w:rsid w:val="00A47308"/>
    <w:rsid w:val="00A47EA2"/>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9E1"/>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5E7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2F8"/>
    <w:rsid w:val="00B06644"/>
    <w:rsid w:val="00B06C88"/>
    <w:rsid w:val="00B125F3"/>
    <w:rsid w:val="00B126C5"/>
    <w:rsid w:val="00B12D99"/>
    <w:rsid w:val="00B13F0C"/>
    <w:rsid w:val="00B14655"/>
    <w:rsid w:val="00B1639B"/>
    <w:rsid w:val="00B2132D"/>
    <w:rsid w:val="00B22085"/>
    <w:rsid w:val="00B2583B"/>
    <w:rsid w:val="00B26A16"/>
    <w:rsid w:val="00B26EE0"/>
    <w:rsid w:val="00B27530"/>
    <w:rsid w:val="00B27F26"/>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135"/>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2945"/>
    <w:rsid w:val="00BF3667"/>
    <w:rsid w:val="00BF687D"/>
    <w:rsid w:val="00BF7E3F"/>
    <w:rsid w:val="00C0197B"/>
    <w:rsid w:val="00C01DE1"/>
    <w:rsid w:val="00C0426C"/>
    <w:rsid w:val="00C05EFF"/>
    <w:rsid w:val="00C06DB3"/>
    <w:rsid w:val="00C0741B"/>
    <w:rsid w:val="00C11068"/>
    <w:rsid w:val="00C12870"/>
    <w:rsid w:val="00C132BD"/>
    <w:rsid w:val="00C13784"/>
    <w:rsid w:val="00C1414C"/>
    <w:rsid w:val="00C166B7"/>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7AC"/>
    <w:rsid w:val="00C97D20"/>
    <w:rsid w:val="00CA333E"/>
    <w:rsid w:val="00CA3C0E"/>
    <w:rsid w:val="00CA5586"/>
    <w:rsid w:val="00CA7412"/>
    <w:rsid w:val="00CA77DD"/>
    <w:rsid w:val="00CB098D"/>
    <w:rsid w:val="00CB0BF5"/>
    <w:rsid w:val="00CB2BDF"/>
    <w:rsid w:val="00CB2DAD"/>
    <w:rsid w:val="00CB38DB"/>
    <w:rsid w:val="00CB3BC1"/>
    <w:rsid w:val="00CB62EA"/>
    <w:rsid w:val="00CC0635"/>
    <w:rsid w:val="00CC1C41"/>
    <w:rsid w:val="00CC250F"/>
    <w:rsid w:val="00CC3095"/>
    <w:rsid w:val="00CC3C7C"/>
    <w:rsid w:val="00CC4CA8"/>
    <w:rsid w:val="00CC77B3"/>
    <w:rsid w:val="00CD005E"/>
    <w:rsid w:val="00CD12CE"/>
    <w:rsid w:val="00CD12F5"/>
    <w:rsid w:val="00CD14B9"/>
    <w:rsid w:val="00CD24B4"/>
    <w:rsid w:val="00CD2CBF"/>
    <w:rsid w:val="00CD4433"/>
    <w:rsid w:val="00CD569B"/>
    <w:rsid w:val="00CD7718"/>
    <w:rsid w:val="00CD7AC1"/>
    <w:rsid w:val="00CE2F66"/>
    <w:rsid w:val="00CE4B07"/>
    <w:rsid w:val="00CE7A05"/>
    <w:rsid w:val="00CF02AF"/>
    <w:rsid w:val="00CF1BF9"/>
    <w:rsid w:val="00CF1F1C"/>
    <w:rsid w:val="00CF2D86"/>
    <w:rsid w:val="00CF4B9F"/>
    <w:rsid w:val="00CF548C"/>
    <w:rsid w:val="00CF6289"/>
    <w:rsid w:val="00D01EF8"/>
    <w:rsid w:val="00D02067"/>
    <w:rsid w:val="00D0261E"/>
    <w:rsid w:val="00D03E8D"/>
    <w:rsid w:val="00D03EF2"/>
    <w:rsid w:val="00D05172"/>
    <w:rsid w:val="00D0585F"/>
    <w:rsid w:val="00D07BC3"/>
    <w:rsid w:val="00D10B16"/>
    <w:rsid w:val="00D117FF"/>
    <w:rsid w:val="00D11F53"/>
    <w:rsid w:val="00D1236C"/>
    <w:rsid w:val="00D17292"/>
    <w:rsid w:val="00D17542"/>
    <w:rsid w:val="00D1766D"/>
    <w:rsid w:val="00D21261"/>
    <w:rsid w:val="00D23413"/>
    <w:rsid w:val="00D2549C"/>
    <w:rsid w:val="00D25D98"/>
    <w:rsid w:val="00D26816"/>
    <w:rsid w:val="00D27E29"/>
    <w:rsid w:val="00D27FE3"/>
    <w:rsid w:val="00D30B7F"/>
    <w:rsid w:val="00D31C6B"/>
    <w:rsid w:val="00D3691A"/>
    <w:rsid w:val="00D37D79"/>
    <w:rsid w:val="00D41B44"/>
    <w:rsid w:val="00D41D53"/>
    <w:rsid w:val="00D4535C"/>
    <w:rsid w:val="00D455D2"/>
    <w:rsid w:val="00D459CC"/>
    <w:rsid w:val="00D45B8F"/>
    <w:rsid w:val="00D50147"/>
    <w:rsid w:val="00D503EA"/>
    <w:rsid w:val="00D515A4"/>
    <w:rsid w:val="00D51BF0"/>
    <w:rsid w:val="00D521C2"/>
    <w:rsid w:val="00D52E91"/>
    <w:rsid w:val="00D55202"/>
    <w:rsid w:val="00D5651B"/>
    <w:rsid w:val="00D56B22"/>
    <w:rsid w:val="00D62F71"/>
    <w:rsid w:val="00D63234"/>
    <w:rsid w:val="00D64B19"/>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027F"/>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51AB"/>
    <w:rsid w:val="00E16335"/>
    <w:rsid w:val="00E163CC"/>
    <w:rsid w:val="00E16E9D"/>
    <w:rsid w:val="00E2420D"/>
    <w:rsid w:val="00E261ED"/>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54F0"/>
    <w:rsid w:val="00E86C0E"/>
    <w:rsid w:val="00E90562"/>
    <w:rsid w:val="00E9137E"/>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0D2"/>
    <w:rsid w:val="00EC452B"/>
    <w:rsid w:val="00EC71A3"/>
    <w:rsid w:val="00ED38BA"/>
    <w:rsid w:val="00ED5051"/>
    <w:rsid w:val="00ED6C16"/>
    <w:rsid w:val="00ED6F3F"/>
    <w:rsid w:val="00ED702F"/>
    <w:rsid w:val="00ED7EC5"/>
    <w:rsid w:val="00EE1061"/>
    <w:rsid w:val="00EE27EB"/>
    <w:rsid w:val="00EE766E"/>
    <w:rsid w:val="00EE797B"/>
    <w:rsid w:val="00EF051C"/>
    <w:rsid w:val="00EF48F6"/>
    <w:rsid w:val="00EF7FC8"/>
    <w:rsid w:val="00F0075E"/>
    <w:rsid w:val="00F01C98"/>
    <w:rsid w:val="00F04726"/>
    <w:rsid w:val="00F06AB7"/>
    <w:rsid w:val="00F06AB9"/>
    <w:rsid w:val="00F0787F"/>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37D9B"/>
    <w:rsid w:val="00F41119"/>
    <w:rsid w:val="00F4188B"/>
    <w:rsid w:val="00F41ED4"/>
    <w:rsid w:val="00F434F0"/>
    <w:rsid w:val="00F43A14"/>
    <w:rsid w:val="00F43A8B"/>
    <w:rsid w:val="00F43B20"/>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D75"/>
    <w:rsid w:val="00F94808"/>
    <w:rsid w:val="00FA21A7"/>
    <w:rsid w:val="00FA2A26"/>
    <w:rsid w:val="00FA2BEF"/>
    <w:rsid w:val="00FA4291"/>
    <w:rsid w:val="00FA4ADF"/>
    <w:rsid w:val="00FA56A5"/>
    <w:rsid w:val="00FA5E02"/>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1162826">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55432987">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1945262958">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1B4A5-0F80-48BB-9217-D0AF1621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83</cp:revision>
  <dcterms:created xsi:type="dcterms:W3CDTF">2020-05-13T15:58:00Z</dcterms:created>
  <dcterms:modified xsi:type="dcterms:W3CDTF">2020-06-15T13:56:00Z</dcterms:modified>
</cp:coreProperties>
</file>