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0068EE31" w:rsidR="00226288" w:rsidRPr="00226288" w:rsidRDefault="00226288" w:rsidP="00FF1FAD">
      <w:pPr>
        <w:spacing w:line="480" w:lineRule="auto"/>
        <w:contextualSpacing/>
      </w:pPr>
      <w:r w:rsidRPr="00226288">
        <w:t xml:space="preserve">An </w:t>
      </w:r>
      <w:r w:rsidR="00081AC4">
        <w:t>Image</w:t>
      </w:r>
      <w:r w:rsidRPr="00226288">
        <w:t xml:space="preserve"> of the Future – </w:t>
      </w:r>
      <w:r w:rsidR="00262CDE">
        <w:t>Entity 47</w:t>
      </w:r>
      <w:r w:rsidRPr="00226288">
        <w:t xml:space="preserve"> and </w:t>
      </w:r>
      <w:r w:rsidR="00262CDE">
        <w:t>Regional Service District 11</w:t>
      </w:r>
    </w:p>
    <w:p w14:paraId="70CB123F" w14:textId="0B3F725D"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262CDE">
        <w:rPr>
          <w:rFonts w:eastAsia="Times New Roman"/>
        </w:rPr>
        <w:t>Entity 47</w:t>
      </w:r>
      <w:r w:rsidR="006736F1">
        <w:rPr>
          <w:rFonts w:eastAsia="Times New Roman"/>
        </w:rPr>
        <w:t>.</w:t>
      </w:r>
      <w:r w:rsidRPr="00226288">
        <w:rPr>
          <w:rFonts w:eastAsia="Times New Roman"/>
        </w:rPr>
        <w:t xml:space="preserve"> For the duration of this discussion the municipality shall be referred to as </w:t>
      </w:r>
      <w:r w:rsidR="00262CDE">
        <w:rPr>
          <w:rFonts w:eastAsia="Times New Roman"/>
        </w:rPr>
        <w:t>Entity 47</w:t>
      </w:r>
      <w:r w:rsidRPr="00226288">
        <w:rPr>
          <w:rFonts w:eastAsia="Times New Roman"/>
        </w:rPr>
        <w:t xml:space="preserve">, as while the municipality could conceivably adopt </w:t>
      </w:r>
      <w:r w:rsidR="00DC6D5B">
        <w:rPr>
          <w:rFonts w:eastAsia="Times New Roman"/>
        </w:rPr>
        <w:t xml:space="preserve">the </w:t>
      </w:r>
      <w:r w:rsidR="00F16A38">
        <w:rPr>
          <w:rFonts w:eastAsia="Times New Roman"/>
        </w:rPr>
        <w:t xml:space="preserve">name </w:t>
      </w:r>
      <w:r w:rsidR="0084635C">
        <w:rPr>
          <w:rFonts w:eastAsia="Times New Roman"/>
        </w:rPr>
        <w:t>Oromocto, Gagetown, or Fredericton Junction</w:t>
      </w:r>
      <w:r w:rsidR="00C847DE">
        <w:rPr>
          <w:rFonts w:eastAsia="Times New Roman"/>
        </w:rPr>
        <w:t xml:space="preserve">, </w:t>
      </w:r>
      <w:r w:rsidRPr="00226288">
        <w:rPr>
          <w:rFonts w:eastAsia="Times New Roman"/>
        </w:rPr>
        <w:t xml:space="preserve">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1B6A62F2" w:rsidR="00226288" w:rsidRPr="00226288" w:rsidRDefault="00E45809" w:rsidP="00226288">
      <w:pPr>
        <w:rPr>
          <w:b/>
          <w:bCs/>
        </w:rPr>
      </w:pPr>
      <w:r>
        <w:rPr>
          <w:noProof/>
          <w:szCs w:val="24"/>
        </w:rPr>
        <w:drawing>
          <wp:anchor distT="0" distB="0" distL="114300" distR="114300" simplePos="0" relativeHeight="251659264" behindDoc="0" locked="0" layoutInCell="1" allowOverlap="1" wp14:anchorId="4E73665D" wp14:editId="00A5A4F6">
            <wp:simplePos x="0" y="0"/>
            <wp:positionH relativeFrom="column">
              <wp:posOffset>2400300</wp:posOffset>
            </wp:positionH>
            <wp:positionV relativeFrom="paragraph">
              <wp:posOffset>10795</wp:posOffset>
            </wp:positionV>
            <wp:extent cx="3543300" cy="3147695"/>
            <wp:effectExtent l="0" t="0" r="0" b="0"/>
            <wp:wrapThrough wrapText="bothSides">
              <wp:wrapPolygon edited="0">
                <wp:start x="232" y="0"/>
                <wp:lineTo x="0" y="392"/>
                <wp:lineTo x="0" y="21047"/>
                <wp:lineTo x="232" y="21439"/>
                <wp:lineTo x="21252" y="21439"/>
                <wp:lineTo x="21484" y="21047"/>
                <wp:lineTo x="21484" y="392"/>
                <wp:lineTo x="21252" y="0"/>
                <wp:lineTo x="232"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345" t="45038" r="30169"/>
                    <a:stretch/>
                  </pic:blipFill>
                  <pic:spPr bwMode="auto">
                    <a:xfrm>
                      <a:off x="0" y="0"/>
                      <a:ext cx="3543300" cy="314769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4750B350" w14:textId="2AF1BFD3" w:rsidR="00226288" w:rsidRDefault="00262CDE" w:rsidP="0088243B">
      <w:pPr>
        <w:jc w:val="both"/>
        <w:rPr>
          <w:szCs w:val="24"/>
        </w:rPr>
      </w:pPr>
      <w:r>
        <w:rPr>
          <w:szCs w:val="24"/>
        </w:rPr>
        <w:t>Entity 47</w:t>
      </w:r>
      <w:r w:rsidR="006C7607">
        <w:rPr>
          <w:szCs w:val="24"/>
        </w:rPr>
        <w:t xml:space="preserve"> </w:t>
      </w:r>
      <w:r w:rsidR="00D02067" w:rsidRPr="003E682B">
        <w:rPr>
          <w:szCs w:val="24"/>
        </w:rPr>
        <w:t xml:space="preserve">would be comprised of </w:t>
      </w:r>
      <w:r w:rsidR="00CA333E" w:rsidRPr="003E682B">
        <w:rPr>
          <w:szCs w:val="24"/>
        </w:rPr>
        <w:t xml:space="preserve">the </w:t>
      </w:r>
      <w:r w:rsidR="000A28EE">
        <w:rPr>
          <w:szCs w:val="24"/>
        </w:rPr>
        <w:t xml:space="preserve">Town of </w:t>
      </w:r>
      <w:r w:rsidR="00A06864">
        <w:rPr>
          <w:szCs w:val="24"/>
        </w:rPr>
        <w:t>Oro</w:t>
      </w:r>
      <w:r w:rsidR="00CC1239">
        <w:rPr>
          <w:szCs w:val="24"/>
        </w:rPr>
        <w:t>mocto</w:t>
      </w:r>
      <w:r w:rsidR="001D653E">
        <w:rPr>
          <w:szCs w:val="24"/>
        </w:rPr>
        <w:t xml:space="preserve">, </w:t>
      </w:r>
      <w:r w:rsidR="00C27C8B">
        <w:rPr>
          <w:szCs w:val="24"/>
        </w:rPr>
        <w:t>the Village</w:t>
      </w:r>
      <w:r w:rsidR="00CC1239">
        <w:rPr>
          <w:szCs w:val="24"/>
        </w:rPr>
        <w:t>s</w:t>
      </w:r>
      <w:r w:rsidR="00C27C8B">
        <w:rPr>
          <w:szCs w:val="24"/>
        </w:rPr>
        <w:t xml:space="preserve"> of </w:t>
      </w:r>
      <w:r w:rsidR="00CC1239">
        <w:rPr>
          <w:szCs w:val="24"/>
        </w:rPr>
        <w:t xml:space="preserve">Fredericton Junction, Tracy, </w:t>
      </w:r>
      <w:r w:rsidR="00AB5C50">
        <w:rPr>
          <w:szCs w:val="24"/>
        </w:rPr>
        <w:t xml:space="preserve">and </w:t>
      </w:r>
      <w:r w:rsidR="006A4EF2">
        <w:rPr>
          <w:szCs w:val="24"/>
        </w:rPr>
        <w:t>Gagetown</w:t>
      </w:r>
      <w:r w:rsidR="00B671A5">
        <w:rPr>
          <w:szCs w:val="24"/>
        </w:rPr>
        <w:t xml:space="preserve">, and the Clarendon, Wirral-Enniskillen, New Maryland, Rusagonis-Waasis, </w:t>
      </w:r>
      <w:r w:rsidR="007C404F">
        <w:rPr>
          <w:szCs w:val="24"/>
        </w:rPr>
        <w:t>Burton, Upper Gagetown, Hampstead, Gladstone, and Blissville</w:t>
      </w:r>
      <w:r w:rsidR="00DF32F8">
        <w:rPr>
          <w:szCs w:val="24"/>
        </w:rPr>
        <w:t xml:space="preserve"> </w:t>
      </w:r>
      <w:r w:rsidR="00060188">
        <w:rPr>
          <w:szCs w:val="24"/>
        </w:rPr>
        <w:t>LSD</w:t>
      </w:r>
      <w:r w:rsidR="009555B0">
        <w:rPr>
          <w:szCs w:val="24"/>
        </w:rPr>
        <w:t>s</w:t>
      </w:r>
      <w:r w:rsidR="00E351D9">
        <w:rPr>
          <w:szCs w:val="24"/>
        </w:rPr>
        <w:t>.</w:t>
      </w:r>
      <w:r w:rsidR="00215CFD">
        <w:rPr>
          <w:szCs w:val="24"/>
        </w:rPr>
        <w:t xml:space="preserve"> </w:t>
      </w:r>
    </w:p>
    <w:p w14:paraId="7116CD82" w14:textId="668ED6BC" w:rsidR="001F5724" w:rsidRPr="00226288" w:rsidRDefault="001F5724" w:rsidP="001F5724">
      <w:pPr>
        <w:rPr>
          <w:rFonts w:eastAsia="Times New Roman"/>
          <w:b/>
          <w:bCs/>
        </w:rPr>
      </w:pPr>
      <w:r w:rsidRPr="00226288">
        <w:rPr>
          <w:rFonts w:eastAsia="Times New Roman"/>
          <w:b/>
          <w:bCs/>
        </w:rPr>
        <w:t>Demographic Base</w:t>
      </w:r>
    </w:p>
    <w:p w14:paraId="4A234E1E" w14:textId="6CDBD968"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D4044D">
        <w:rPr>
          <w:rFonts w:eastAsia="Times New Roman"/>
          <w:color w:val="000000" w:themeColor="text1"/>
          <w:szCs w:val="24"/>
        </w:rPr>
        <w:t>25</w:t>
      </w:r>
      <w:r w:rsidR="00B95EFA">
        <w:rPr>
          <w:rFonts w:eastAsia="Times New Roman"/>
          <w:color w:val="000000" w:themeColor="text1"/>
          <w:szCs w:val="24"/>
        </w:rPr>
        <w:t>000</w:t>
      </w:r>
      <w:r w:rsidR="003002B5">
        <w:rPr>
          <w:szCs w:val="24"/>
        </w:rPr>
        <w:t xml:space="preserve"> </w:t>
      </w:r>
      <w:r w:rsidR="00E91A48">
        <w:rPr>
          <w:szCs w:val="24"/>
        </w:rPr>
        <w:t>people</w:t>
      </w:r>
      <w:r w:rsidR="00D4044D">
        <w:rPr>
          <w:szCs w:val="24"/>
        </w:rPr>
        <w:t xml:space="preserve"> – an increase of 3% from 2011</w:t>
      </w:r>
      <w:r w:rsidR="00E91A48">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262CDE">
        <w:rPr>
          <w:rFonts w:eastAsia="Times New Roman"/>
          <w:color w:val="000000" w:themeColor="text1"/>
          <w:szCs w:val="24"/>
        </w:rPr>
        <w:t>Entity 47</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329B13A4" w14:textId="77777777" w:rsidR="00962B5C"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EC1820">
        <w:rPr>
          <w:rFonts w:eastAsia="Times New Roman"/>
          <w:color w:val="000000" w:themeColor="text1"/>
          <w:szCs w:val="24"/>
        </w:rPr>
        <w:t>55</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262CDE">
        <w:rPr>
          <w:rFonts w:eastAsia="Times New Roman"/>
          <w:color w:val="000000" w:themeColor="text1"/>
          <w:szCs w:val="24"/>
        </w:rPr>
        <w:t>Entity 47</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tbl>
      <w:tblPr>
        <w:tblpPr w:leftFromText="180" w:rightFromText="180" w:vertAnchor="page" w:horzAnchor="margin" w:tblpXSpec="right" w:tblpY="2548"/>
        <w:tblW w:w="5829" w:type="dxa"/>
        <w:tblLook w:val="04A0" w:firstRow="1" w:lastRow="0" w:firstColumn="1" w:lastColumn="0" w:noHBand="0" w:noVBand="1"/>
      </w:tblPr>
      <w:tblGrid>
        <w:gridCol w:w="2703"/>
        <w:gridCol w:w="1563"/>
        <w:gridCol w:w="1563"/>
      </w:tblGrid>
      <w:tr w:rsidR="00962B5C" w:rsidRPr="00962B5C" w14:paraId="788A94DB" w14:textId="77777777" w:rsidTr="00962B5C">
        <w:trPr>
          <w:trHeight w:val="310"/>
        </w:trPr>
        <w:tc>
          <w:tcPr>
            <w:tcW w:w="5829" w:type="dxa"/>
            <w:gridSpan w:val="3"/>
            <w:tcBorders>
              <w:top w:val="nil"/>
              <w:left w:val="nil"/>
              <w:bottom w:val="single" w:sz="8" w:space="0" w:color="BFBFBF"/>
              <w:right w:val="nil"/>
            </w:tcBorders>
            <w:shd w:val="clear" w:color="auto" w:fill="auto"/>
            <w:noWrap/>
            <w:vAlign w:val="center"/>
            <w:hideMark/>
          </w:tcPr>
          <w:p w14:paraId="4FA498E6" w14:textId="77777777" w:rsidR="00962B5C" w:rsidRPr="00962B5C" w:rsidRDefault="00962B5C" w:rsidP="00962B5C">
            <w:pPr>
              <w:spacing w:after="0" w:line="240" w:lineRule="auto"/>
              <w:jc w:val="center"/>
              <w:rPr>
                <w:rFonts w:eastAsia="Times New Roman"/>
                <w:b/>
                <w:bCs/>
                <w:color w:val="000000"/>
                <w:szCs w:val="24"/>
                <w:lang w:val="en-CA" w:eastAsia="en-CA"/>
              </w:rPr>
            </w:pPr>
            <w:r w:rsidRPr="00962B5C">
              <w:rPr>
                <w:rFonts w:eastAsia="Times New Roman"/>
                <w:b/>
                <w:bCs/>
                <w:color w:val="000000"/>
                <w:szCs w:val="24"/>
                <w:lang w:val="en-CA" w:eastAsia="en-CA"/>
              </w:rPr>
              <w:lastRenderedPageBreak/>
              <w:t>Voter Turnout by Existing Municipality</w:t>
            </w:r>
          </w:p>
        </w:tc>
      </w:tr>
      <w:tr w:rsidR="00962B5C" w:rsidRPr="00962B5C" w14:paraId="02401E60" w14:textId="77777777" w:rsidTr="00962B5C">
        <w:trPr>
          <w:trHeight w:val="970"/>
        </w:trPr>
        <w:tc>
          <w:tcPr>
            <w:tcW w:w="2703" w:type="dxa"/>
            <w:tcBorders>
              <w:top w:val="nil"/>
              <w:left w:val="nil"/>
              <w:bottom w:val="nil"/>
              <w:right w:val="nil"/>
            </w:tcBorders>
            <w:shd w:val="clear" w:color="4472C4" w:fill="4472C4"/>
            <w:vAlign w:val="center"/>
            <w:hideMark/>
          </w:tcPr>
          <w:p w14:paraId="777D8593" w14:textId="77777777" w:rsidR="00962B5C" w:rsidRPr="00962B5C" w:rsidRDefault="00962B5C" w:rsidP="00962B5C">
            <w:pPr>
              <w:spacing w:after="0" w:line="240" w:lineRule="auto"/>
              <w:jc w:val="center"/>
              <w:rPr>
                <w:rFonts w:eastAsia="Times New Roman"/>
                <w:b/>
                <w:bCs/>
                <w:color w:val="000000"/>
                <w:szCs w:val="24"/>
                <w:lang w:val="en-CA" w:eastAsia="en-CA"/>
              </w:rPr>
            </w:pPr>
            <w:r w:rsidRPr="00962B5C">
              <w:rPr>
                <w:rFonts w:eastAsia="Times New Roman"/>
                <w:b/>
                <w:bCs/>
                <w:color w:val="000000"/>
                <w:szCs w:val="24"/>
                <w:lang w:val="en-CA" w:eastAsia="en-CA"/>
              </w:rPr>
              <w:t>Municipality</w:t>
            </w:r>
          </w:p>
        </w:tc>
        <w:tc>
          <w:tcPr>
            <w:tcW w:w="1563" w:type="dxa"/>
            <w:tcBorders>
              <w:top w:val="nil"/>
              <w:left w:val="single" w:sz="4" w:space="0" w:color="FFFFFF"/>
              <w:bottom w:val="nil"/>
              <w:right w:val="nil"/>
            </w:tcBorders>
            <w:shd w:val="clear" w:color="4472C4" w:fill="4472C4"/>
            <w:hideMark/>
          </w:tcPr>
          <w:p w14:paraId="257A4786" w14:textId="77777777" w:rsidR="00962B5C" w:rsidRPr="00962B5C" w:rsidRDefault="00962B5C" w:rsidP="00962B5C">
            <w:pPr>
              <w:spacing w:after="0" w:line="240" w:lineRule="auto"/>
              <w:jc w:val="center"/>
              <w:rPr>
                <w:rFonts w:eastAsia="Times New Roman"/>
                <w:b/>
                <w:bCs/>
                <w:color w:val="000000"/>
                <w:szCs w:val="24"/>
                <w:lang w:val="en-CA" w:eastAsia="en-CA"/>
              </w:rPr>
            </w:pPr>
            <w:r w:rsidRPr="00962B5C">
              <w:rPr>
                <w:rFonts w:eastAsia="Times New Roman"/>
                <w:b/>
                <w:bCs/>
                <w:color w:val="000000"/>
                <w:szCs w:val="24"/>
                <w:lang w:val="en-CA" w:eastAsia="en-CA"/>
              </w:rPr>
              <w:t>Voter Participation 2012</w:t>
            </w:r>
            <w:r w:rsidRPr="00962B5C">
              <w:rPr>
                <w:rFonts w:eastAsia="Times New Roman"/>
                <w:b/>
                <w:bCs/>
                <w:color w:val="000000"/>
                <w:szCs w:val="24"/>
                <w:vertAlign w:val="superscript"/>
                <w:lang w:val="en-CA" w:eastAsia="en-CA"/>
              </w:rPr>
              <w:t>1</w:t>
            </w:r>
          </w:p>
        </w:tc>
        <w:tc>
          <w:tcPr>
            <w:tcW w:w="1563" w:type="dxa"/>
            <w:tcBorders>
              <w:top w:val="nil"/>
              <w:left w:val="single" w:sz="4" w:space="0" w:color="FFFFFF"/>
              <w:bottom w:val="nil"/>
              <w:right w:val="nil"/>
            </w:tcBorders>
            <w:shd w:val="clear" w:color="4472C4" w:fill="4472C4"/>
            <w:hideMark/>
          </w:tcPr>
          <w:p w14:paraId="5F16A18A" w14:textId="77777777" w:rsidR="00962B5C" w:rsidRPr="00962B5C" w:rsidRDefault="00962B5C" w:rsidP="00962B5C">
            <w:pPr>
              <w:spacing w:after="0" w:line="240" w:lineRule="auto"/>
              <w:jc w:val="center"/>
              <w:rPr>
                <w:rFonts w:eastAsia="Times New Roman"/>
                <w:b/>
                <w:bCs/>
                <w:color w:val="000000"/>
                <w:szCs w:val="24"/>
                <w:lang w:val="en-CA" w:eastAsia="en-CA"/>
              </w:rPr>
            </w:pPr>
            <w:r w:rsidRPr="00962B5C">
              <w:rPr>
                <w:rFonts w:eastAsia="Times New Roman"/>
                <w:b/>
                <w:bCs/>
                <w:color w:val="000000"/>
                <w:szCs w:val="24"/>
                <w:lang w:val="en-CA" w:eastAsia="en-CA"/>
              </w:rPr>
              <w:t>Voter Participation 2016</w:t>
            </w:r>
          </w:p>
        </w:tc>
      </w:tr>
      <w:tr w:rsidR="00962B5C" w:rsidRPr="00962B5C" w14:paraId="76AB1750" w14:textId="77777777" w:rsidTr="00962B5C">
        <w:trPr>
          <w:trHeight w:val="320"/>
        </w:trPr>
        <w:tc>
          <w:tcPr>
            <w:tcW w:w="2703" w:type="dxa"/>
            <w:tcBorders>
              <w:top w:val="single" w:sz="12" w:space="0" w:color="FFFFFF"/>
              <w:left w:val="nil"/>
              <w:bottom w:val="nil"/>
              <w:right w:val="nil"/>
            </w:tcBorders>
            <w:shd w:val="clear" w:color="B4C6E7" w:fill="B4C6E7"/>
            <w:noWrap/>
            <w:vAlign w:val="bottom"/>
            <w:hideMark/>
          </w:tcPr>
          <w:p w14:paraId="70DA0A49" w14:textId="77777777" w:rsidR="00962B5C" w:rsidRPr="00962B5C" w:rsidRDefault="00962B5C" w:rsidP="00962B5C">
            <w:pPr>
              <w:spacing w:after="0" w:line="240" w:lineRule="auto"/>
              <w:rPr>
                <w:rFonts w:eastAsia="Times New Roman"/>
                <w:color w:val="000000"/>
                <w:szCs w:val="24"/>
                <w:lang w:val="en-CA" w:eastAsia="en-CA"/>
              </w:rPr>
            </w:pPr>
            <w:r w:rsidRPr="00962B5C">
              <w:rPr>
                <w:rFonts w:eastAsia="Times New Roman"/>
                <w:color w:val="000000"/>
                <w:szCs w:val="24"/>
                <w:lang w:val="en-CA" w:eastAsia="en-CA"/>
              </w:rPr>
              <w:t>Fredericton Junction</w:t>
            </w:r>
          </w:p>
        </w:tc>
        <w:tc>
          <w:tcPr>
            <w:tcW w:w="1563" w:type="dxa"/>
            <w:tcBorders>
              <w:top w:val="single" w:sz="12" w:space="0" w:color="FFFFFF"/>
              <w:left w:val="single" w:sz="4" w:space="0" w:color="FFFFFF"/>
              <w:bottom w:val="nil"/>
              <w:right w:val="nil"/>
            </w:tcBorders>
            <w:shd w:val="clear" w:color="B4C6E7" w:fill="B4C6E7"/>
            <w:noWrap/>
            <w:vAlign w:val="bottom"/>
            <w:hideMark/>
          </w:tcPr>
          <w:p w14:paraId="77C98250" w14:textId="77777777" w:rsidR="00962B5C" w:rsidRPr="00962B5C" w:rsidRDefault="00962B5C" w:rsidP="00962B5C">
            <w:pPr>
              <w:spacing w:after="0" w:line="240" w:lineRule="auto"/>
              <w:jc w:val="right"/>
              <w:rPr>
                <w:rFonts w:eastAsia="Times New Roman"/>
                <w:color w:val="000000"/>
                <w:szCs w:val="24"/>
                <w:lang w:val="en-CA" w:eastAsia="en-CA"/>
              </w:rPr>
            </w:pPr>
            <w:r w:rsidRPr="00962B5C">
              <w:rPr>
                <w:rFonts w:eastAsia="Times New Roman"/>
                <w:color w:val="000000"/>
                <w:szCs w:val="24"/>
                <w:lang w:val="en-CA" w:eastAsia="en-CA"/>
              </w:rPr>
              <w:t>39.8%</w:t>
            </w:r>
          </w:p>
        </w:tc>
        <w:tc>
          <w:tcPr>
            <w:tcW w:w="1563" w:type="dxa"/>
            <w:tcBorders>
              <w:top w:val="single" w:sz="12" w:space="0" w:color="FFFFFF"/>
              <w:left w:val="single" w:sz="4" w:space="0" w:color="FFFFFF"/>
              <w:bottom w:val="nil"/>
              <w:right w:val="nil"/>
            </w:tcBorders>
            <w:shd w:val="clear" w:color="B4C6E7" w:fill="B4C6E7"/>
            <w:noWrap/>
            <w:vAlign w:val="bottom"/>
            <w:hideMark/>
          </w:tcPr>
          <w:p w14:paraId="08992848" w14:textId="77777777" w:rsidR="00962B5C" w:rsidRPr="00962B5C" w:rsidRDefault="00962B5C" w:rsidP="00962B5C">
            <w:pPr>
              <w:spacing w:after="0" w:line="240" w:lineRule="auto"/>
              <w:jc w:val="right"/>
              <w:rPr>
                <w:rFonts w:eastAsia="Times New Roman"/>
                <w:color w:val="000000"/>
                <w:szCs w:val="24"/>
                <w:lang w:val="en-CA" w:eastAsia="en-CA"/>
              </w:rPr>
            </w:pPr>
            <w:r w:rsidRPr="00962B5C">
              <w:rPr>
                <w:rFonts w:eastAsia="Times New Roman"/>
                <w:color w:val="000000"/>
                <w:szCs w:val="24"/>
                <w:lang w:val="en-CA" w:eastAsia="en-CA"/>
              </w:rPr>
              <w:t>50.6%</w:t>
            </w:r>
          </w:p>
        </w:tc>
      </w:tr>
      <w:tr w:rsidR="00962B5C" w:rsidRPr="00962B5C" w14:paraId="7F4B74D1" w14:textId="77777777" w:rsidTr="00962B5C">
        <w:trPr>
          <w:trHeight w:val="320"/>
        </w:trPr>
        <w:tc>
          <w:tcPr>
            <w:tcW w:w="2703" w:type="dxa"/>
            <w:tcBorders>
              <w:top w:val="single" w:sz="4" w:space="0" w:color="FFFFFF"/>
              <w:left w:val="nil"/>
              <w:bottom w:val="nil"/>
              <w:right w:val="nil"/>
            </w:tcBorders>
            <w:shd w:val="clear" w:color="D9E1F2" w:fill="D9E1F2"/>
            <w:noWrap/>
            <w:vAlign w:val="bottom"/>
            <w:hideMark/>
          </w:tcPr>
          <w:p w14:paraId="1CAA4B01" w14:textId="77777777" w:rsidR="00962B5C" w:rsidRPr="00962B5C" w:rsidRDefault="00962B5C" w:rsidP="00962B5C">
            <w:pPr>
              <w:spacing w:after="0" w:line="240" w:lineRule="auto"/>
              <w:rPr>
                <w:rFonts w:eastAsia="Times New Roman"/>
                <w:color w:val="000000"/>
                <w:szCs w:val="24"/>
                <w:lang w:val="en-CA" w:eastAsia="en-CA"/>
              </w:rPr>
            </w:pPr>
            <w:r w:rsidRPr="00962B5C">
              <w:rPr>
                <w:rFonts w:eastAsia="Times New Roman"/>
                <w:color w:val="000000"/>
                <w:szCs w:val="24"/>
                <w:lang w:val="en-CA" w:eastAsia="en-CA"/>
              </w:rPr>
              <w:t>Tracy</w:t>
            </w:r>
          </w:p>
        </w:tc>
        <w:tc>
          <w:tcPr>
            <w:tcW w:w="1563" w:type="dxa"/>
            <w:tcBorders>
              <w:top w:val="single" w:sz="4" w:space="0" w:color="FFFFFF"/>
              <w:left w:val="single" w:sz="4" w:space="0" w:color="FFFFFF"/>
              <w:bottom w:val="nil"/>
              <w:right w:val="nil"/>
            </w:tcBorders>
            <w:shd w:val="clear" w:color="D9E1F2" w:fill="D9E1F2"/>
            <w:noWrap/>
            <w:vAlign w:val="bottom"/>
            <w:hideMark/>
          </w:tcPr>
          <w:p w14:paraId="4C0C316A" w14:textId="77777777" w:rsidR="00962B5C" w:rsidRPr="00962B5C" w:rsidRDefault="00962B5C" w:rsidP="00962B5C">
            <w:pPr>
              <w:spacing w:after="0" w:line="240" w:lineRule="auto"/>
              <w:jc w:val="right"/>
              <w:rPr>
                <w:rFonts w:eastAsia="Times New Roman"/>
                <w:color w:val="000000"/>
                <w:szCs w:val="24"/>
                <w:lang w:val="en-CA" w:eastAsia="en-CA"/>
              </w:rPr>
            </w:pPr>
            <w:r w:rsidRPr="00962B5C">
              <w:rPr>
                <w:rFonts w:eastAsia="Times New Roman"/>
                <w:color w:val="000000"/>
                <w:szCs w:val="24"/>
                <w:lang w:val="en-CA" w:eastAsia="en-CA"/>
              </w:rPr>
              <w:t>acclaimed</w:t>
            </w:r>
          </w:p>
        </w:tc>
        <w:tc>
          <w:tcPr>
            <w:tcW w:w="1563" w:type="dxa"/>
            <w:tcBorders>
              <w:top w:val="single" w:sz="4" w:space="0" w:color="FFFFFF"/>
              <w:left w:val="single" w:sz="4" w:space="0" w:color="FFFFFF"/>
              <w:bottom w:val="nil"/>
              <w:right w:val="nil"/>
            </w:tcBorders>
            <w:shd w:val="clear" w:color="D9E1F2" w:fill="D9E1F2"/>
            <w:noWrap/>
            <w:vAlign w:val="bottom"/>
            <w:hideMark/>
          </w:tcPr>
          <w:p w14:paraId="0AD0975D" w14:textId="77777777" w:rsidR="00962B5C" w:rsidRPr="00962B5C" w:rsidRDefault="00962B5C" w:rsidP="00962B5C">
            <w:pPr>
              <w:spacing w:after="0" w:line="240" w:lineRule="auto"/>
              <w:jc w:val="right"/>
              <w:rPr>
                <w:rFonts w:eastAsia="Times New Roman"/>
                <w:color w:val="000000"/>
                <w:szCs w:val="24"/>
                <w:lang w:val="en-CA" w:eastAsia="en-CA"/>
              </w:rPr>
            </w:pPr>
            <w:r w:rsidRPr="00962B5C">
              <w:rPr>
                <w:rFonts w:eastAsia="Times New Roman"/>
                <w:color w:val="000000"/>
                <w:szCs w:val="24"/>
                <w:lang w:val="en-CA" w:eastAsia="en-CA"/>
              </w:rPr>
              <w:t>53.9%</w:t>
            </w:r>
          </w:p>
        </w:tc>
      </w:tr>
      <w:tr w:rsidR="00962B5C" w:rsidRPr="00962B5C" w14:paraId="5B7957E7" w14:textId="77777777" w:rsidTr="00962B5C">
        <w:trPr>
          <w:trHeight w:val="310"/>
        </w:trPr>
        <w:tc>
          <w:tcPr>
            <w:tcW w:w="2703" w:type="dxa"/>
            <w:tcBorders>
              <w:top w:val="single" w:sz="4" w:space="0" w:color="FFFFFF"/>
              <w:left w:val="nil"/>
              <w:bottom w:val="nil"/>
              <w:right w:val="nil"/>
            </w:tcBorders>
            <w:shd w:val="clear" w:color="B4C6E7" w:fill="B4C6E7"/>
            <w:noWrap/>
            <w:vAlign w:val="bottom"/>
            <w:hideMark/>
          </w:tcPr>
          <w:p w14:paraId="0CCD724F" w14:textId="77777777" w:rsidR="00962B5C" w:rsidRPr="00962B5C" w:rsidRDefault="00962B5C" w:rsidP="00962B5C">
            <w:pPr>
              <w:spacing w:after="0" w:line="240" w:lineRule="auto"/>
              <w:rPr>
                <w:rFonts w:eastAsia="Times New Roman"/>
                <w:color w:val="000000"/>
                <w:szCs w:val="24"/>
                <w:lang w:val="en-CA" w:eastAsia="en-CA"/>
              </w:rPr>
            </w:pPr>
            <w:r w:rsidRPr="00962B5C">
              <w:rPr>
                <w:rFonts w:eastAsia="Times New Roman"/>
                <w:color w:val="000000"/>
                <w:szCs w:val="24"/>
                <w:lang w:val="en-CA" w:eastAsia="en-CA"/>
              </w:rPr>
              <w:t>Oromocto</w:t>
            </w:r>
          </w:p>
        </w:tc>
        <w:tc>
          <w:tcPr>
            <w:tcW w:w="1563" w:type="dxa"/>
            <w:tcBorders>
              <w:top w:val="single" w:sz="4" w:space="0" w:color="FFFFFF"/>
              <w:left w:val="single" w:sz="4" w:space="0" w:color="FFFFFF"/>
              <w:bottom w:val="nil"/>
              <w:right w:val="nil"/>
            </w:tcBorders>
            <w:shd w:val="clear" w:color="B4C6E7" w:fill="B4C6E7"/>
            <w:noWrap/>
            <w:vAlign w:val="bottom"/>
            <w:hideMark/>
          </w:tcPr>
          <w:p w14:paraId="40A70842" w14:textId="77777777" w:rsidR="00962B5C" w:rsidRPr="00962B5C" w:rsidRDefault="00962B5C" w:rsidP="00962B5C">
            <w:pPr>
              <w:spacing w:after="0" w:line="240" w:lineRule="auto"/>
              <w:jc w:val="right"/>
              <w:rPr>
                <w:rFonts w:eastAsia="Times New Roman"/>
                <w:color w:val="000000"/>
                <w:szCs w:val="24"/>
                <w:lang w:val="en-CA" w:eastAsia="en-CA"/>
              </w:rPr>
            </w:pPr>
            <w:r w:rsidRPr="00962B5C">
              <w:rPr>
                <w:rFonts w:eastAsia="Times New Roman"/>
                <w:color w:val="000000"/>
                <w:szCs w:val="24"/>
                <w:lang w:val="en-CA" w:eastAsia="en-CA"/>
              </w:rPr>
              <w:t>35.7%</w:t>
            </w:r>
          </w:p>
        </w:tc>
        <w:tc>
          <w:tcPr>
            <w:tcW w:w="1563" w:type="dxa"/>
            <w:tcBorders>
              <w:top w:val="single" w:sz="4" w:space="0" w:color="FFFFFF"/>
              <w:left w:val="single" w:sz="4" w:space="0" w:color="FFFFFF"/>
              <w:bottom w:val="nil"/>
              <w:right w:val="nil"/>
            </w:tcBorders>
            <w:shd w:val="clear" w:color="B4C6E7" w:fill="B4C6E7"/>
            <w:noWrap/>
            <w:vAlign w:val="bottom"/>
            <w:hideMark/>
          </w:tcPr>
          <w:p w14:paraId="62F4915C" w14:textId="77777777" w:rsidR="00962B5C" w:rsidRPr="00962B5C" w:rsidRDefault="00962B5C" w:rsidP="00962B5C">
            <w:pPr>
              <w:spacing w:after="0" w:line="240" w:lineRule="auto"/>
              <w:jc w:val="right"/>
              <w:rPr>
                <w:rFonts w:eastAsia="Times New Roman"/>
                <w:color w:val="000000"/>
                <w:szCs w:val="24"/>
                <w:lang w:val="en-CA" w:eastAsia="en-CA"/>
              </w:rPr>
            </w:pPr>
            <w:r w:rsidRPr="00962B5C">
              <w:rPr>
                <w:rFonts w:eastAsia="Times New Roman"/>
                <w:color w:val="000000"/>
                <w:szCs w:val="24"/>
                <w:lang w:val="en-CA" w:eastAsia="en-CA"/>
              </w:rPr>
              <w:t>20.1%</w:t>
            </w:r>
          </w:p>
        </w:tc>
      </w:tr>
      <w:tr w:rsidR="00962B5C" w:rsidRPr="00962B5C" w14:paraId="339F9A09" w14:textId="77777777" w:rsidTr="00962B5C">
        <w:trPr>
          <w:trHeight w:val="310"/>
        </w:trPr>
        <w:tc>
          <w:tcPr>
            <w:tcW w:w="2703" w:type="dxa"/>
            <w:tcBorders>
              <w:top w:val="single" w:sz="4" w:space="0" w:color="FFFFFF"/>
              <w:left w:val="nil"/>
              <w:bottom w:val="nil"/>
              <w:right w:val="nil"/>
            </w:tcBorders>
            <w:shd w:val="clear" w:color="D9E1F2" w:fill="D9E1F2"/>
            <w:noWrap/>
            <w:vAlign w:val="bottom"/>
            <w:hideMark/>
          </w:tcPr>
          <w:p w14:paraId="592E1ED2" w14:textId="77777777" w:rsidR="00962B5C" w:rsidRPr="00962B5C" w:rsidRDefault="00962B5C" w:rsidP="00962B5C">
            <w:pPr>
              <w:spacing w:after="0" w:line="240" w:lineRule="auto"/>
              <w:rPr>
                <w:rFonts w:eastAsia="Times New Roman"/>
                <w:color w:val="000000"/>
                <w:szCs w:val="24"/>
                <w:lang w:val="en-CA" w:eastAsia="en-CA"/>
              </w:rPr>
            </w:pPr>
            <w:r w:rsidRPr="00962B5C">
              <w:rPr>
                <w:rFonts w:eastAsia="Times New Roman"/>
                <w:color w:val="000000"/>
                <w:szCs w:val="24"/>
                <w:lang w:val="en-CA" w:eastAsia="en-CA"/>
              </w:rPr>
              <w:t>Gagetown</w:t>
            </w:r>
          </w:p>
        </w:tc>
        <w:tc>
          <w:tcPr>
            <w:tcW w:w="1563" w:type="dxa"/>
            <w:tcBorders>
              <w:top w:val="single" w:sz="4" w:space="0" w:color="FFFFFF"/>
              <w:left w:val="single" w:sz="4" w:space="0" w:color="FFFFFF"/>
              <w:bottom w:val="nil"/>
              <w:right w:val="nil"/>
            </w:tcBorders>
            <w:shd w:val="clear" w:color="D9E1F2" w:fill="D9E1F2"/>
            <w:noWrap/>
            <w:vAlign w:val="bottom"/>
            <w:hideMark/>
          </w:tcPr>
          <w:p w14:paraId="59613953" w14:textId="77777777" w:rsidR="00962B5C" w:rsidRPr="00962B5C" w:rsidRDefault="00962B5C" w:rsidP="00962B5C">
            <w:pPr>
              <w:spacing w:after="0" w:line="240" w:lineRule="auto"/>
              <w:jc w:val="right"/>
              <w:rPr>
                <w:rFonts w:eastAsia="Times New Roman"/>
                <w:color w:val="000000"/>
                <w:szCs w:val="24"/>
                <w:lang w:val="en-CA" w:eastAsia="en-CA"/>
              </w:rPr>
            </w:pPr>
            <w:r w:rsidRPr="00962B5C">
              <w:rPr>
                <w:rFonts w:eastAsia="Times New Roman"/>
                <w:color w:val="000000"/>
                <w:szCs w:val="24"/>
                <w:lang w:val="en-CA" w:eastAsia="en-CA"/>
              </w:rPr>
              <w:t>56.4%</w:t>
            </w:r>
          </w:p>
        </w:tc>
        <w:tc>
          <w:tcPr>
            <w:tcW w:w="1563" w:type="dxa"/>
            <w:tcBorders>
              <w:top w:val="single" w:sz="4" w:space="0" w:color="FFFFFF"/>
              <w:left w:val="single" w:sz="4" w:space="0" w:color="FFFFFF"/>
              <w:bottom w:val="nil"/>
              <w:right w:val="nil"/>
            </w:tcBorders>
            <w:shd w:val="clear" w:color="D9E1F2" w:fill="D9E1F2"/>
            <w:noWrap/>
            <w:vAlign w:val="bottom"/>
            <w:hideMark/>
          </w:tcPr>
          <w:p w14:paraId="01E11998" w14:textId="77777777" w:rsidR="00962B5C" w:rsidRPr="00962B5C" w:rsidRDefault="00962B5C" w:rsidP="00962B5C">
            <w:pPr>
              <w:spacing w:after="0" w:line="240" w:lineRule="auto"/>
              <w:jc w:val="right"/>
              <w:rPr>
                <w:rFonts w:eastAsia="Times New Roman"/>
                <w:color w:val="000000"/>
                <w:szCs w:val="24"/>
                <w:lang w:val="en-CA" w:eastAsia="en-CA"/>
              </w:rPr>
            </w:pPr>
            <w:r w:rsidRPr="00962B5C">
              <w:rPr>
                <w:rFonts w:eastAsia="Times New Roman"/>
                <w:color w:val="000000"/>
                <w:szCs w:val="24"/>
                <w:lang w:val="en-CA" w:eastAsia="en-CA"/>
              </w:rPr>
              <w:t>49.0%</w:t>
            </w:r>
          </w:p>
        </w:tc>
      </w:tr>
      <w:tr w:rsidR="00962B5C" w:rsidRPr="00962B5C" w14:paraId="4CF5F58C" w14:textId="77777777" w:rsidTr="00962B5C">
        <w:trPr>
          <w:trHeight w:val="290"/>
        </w:trPr>
        <w:tc>
          <w:tcPr>
            <w:tcW w:w="5829" w:type="dxa"/>
            <w:gridSpan w:val="3"/>
            <w:tcBorders>
              <w:top w:val="nil"/>
              <w:left w:val="nil"/>
              <w:bottom w:val="nil"/>
              <w:right w:val="nil"/>
            </w:tcBorders>
            <w:shd w:val="clear" w:color="auto" w:fill="auto"/>
            <w:noWrap/>
            <w:vAlign w:val="bottom"/>
            <w:hideMark/>
          </w:tcPr>
          <w:p w14:paraId="0CE51F7F" w14:textId="77777777" w:rsidR="00962B5C" w:rsidRPr="00962B5C" w:rsidRDefault="00962B5C" w:rsidP="00962B5C">
            <w:pPr>
              <w:spacing w:after="0" w:line="240" w:lineRule="auto"/>
              <w:rPr>
                <w:rFonts w:eastAsia="Times New Roman"/>
                <w:color w:val="000000"/>
                <w:sz w:val="20"/>
                <w:szCs w:val="20"/>
                <w:lang w:val="en-CA" w:eastAsia="en-CA"/>
              </w:rPr>
            </w:pPr>
            <w:r w:rsidRPr="00962B5C">
              <w:rPr>
                <w:rFonts w:eastAsia="Times New Roman"/>
                <w:color w:val="000000"/>
                <w:sz w:val="20"/>
                <w:szCs w:val="20"/>
                <w:lang w:val="en-CA" w:eastAsia="en-CA"/>
              </w:rPr>
              <w:t>1. Elections NB</w:t>
            </w:r>
          </w:p>
        </w:tc>
      </w:tr>
    </w:tbl>
    <w:p w14:paraId="698C1A3B" w14:textId="312E50FF" w:rsidR="00A36285" w:rsidRDefault="007353DE" w:rsidP="00E71EDE">
      <w:pPr>
        <w:jc w:val="both"/>
        <w:rPr>
          <w:rFonts w:eastAsia="Times New Roman"/>
          <w:color w:val="000000" w:themeColor="text1"/>
          <w:szCs w:val="24"/>
        </w:rPr>
      </w:pPr>
      <w:r>
        <w:rPr>
          <w:rFonts w:eastAsia="Times New Roman"/>
          <w:color w:val="000000" w:themeColor="text1"/>
          <w:szCs w:val="24"/>
        </w:rPr>
        <w:t>In addition, amalgamation would benefit the proposed entity’s existing municipalit</w:t>
      </w:r>
      <w:r w:rsidR="004E1DB9">
        <w:rPr>
          <w:rFonts w:eastAsia="Times New Roman"/>
          <w:color w:val="000000" w:themeColor="text1"/>
          <w:szCs w:val="24"/>
        </w:rPr>
        <w:t>y</w:t>
      </w:r>
      <w:r>
        <w:rPr>
          <w:rFonts w:eastAsia="Times New Roman"/>
          <w:color w:val="000000" w:themeColor="text1"/>
          <w:szCs w:val="24"/>
        </w:rPr>
        <w:t>’</w:t>
      </w:r>
      <w:r w:rsidR="00E71EDE">
        <w:rPr>
          <w:rFonts w:eastAsia="Times New Roman"/>
          <w:color w:val="000000" w:themeColor="text1"/>
          <w:szCs w:val="24"/>
        </w:rPr>
        <w:t>s</w:t>
      </w:r>
      <w:r>
        <w:rPr>
          <w:rFonts w:eastAsia="Times New Roman"/>
          <w:color w:val="000000" w:themeColor="text1"/>
          <w:szCs w:val="24"/>
        </w:rPr>
        <w:t xml:space="preserve"> democratic institutions.</w:t>
      </w:r>
      <w:r w:rsidR="00A83E2A">
        <w:rPr>
          <w:rFonts w:eastAsia="Times New Roman"/>
          <w:color w:val="000000" w:themeColor="text1"/>
          <w:szCs w:val="24"/>
        </w:rPr>
        <w:t xml:space="preserve"> </w:t>
      </w:r>
      <w:r w:rsidR="001D5FFD">
        <w:rPr>
          <w:rFonts w:eastAsia="Times New Roman"/>
          <w:color w:val="000000" w:themeColor="text1"/>
          <w:szCs w:val="24"/>
        </w:rPr>
        <w:t>Overall, the proposed entity’s four existing municipalities</w:t>
      </w:r>
      <w:r w:rsidR="004055C9">
        <w:rPr>
          <w:rFonts w:eastAsia="Times New Roman"/>
          <w:color w:val="000000" w:themeColor="text1"/>
          <w:szCs w:val="24"/>
        </w:rPr>
        <w:t xml:space="preserve"> </w:t>
      </w:r>
      <w:r w:rsidR="001E2D26">
        <w:rPr>
          <w:rFonts w:eastAsia="Times New Roman"/>
          <w:color w:val="000000" w:themeColor="text1"/>
          <w:szCs w:val="24"/>
        </w:rPr>
        <w:t xml:space="preserve">suffer from a variety </w:t>
      </w:r>
      <w:r w:rsidR="00450824">
        <w:rPr>
          <w:rFonts w:eastAsia="Times New Roman"/>
          <w:color w:val="000000" w:themeColor="text1"/>
          <w:szCs w:val="24"/>
        </w:rPr>
        <w:t>of democratic shortcomings</w:t>
      </w:r>
      <w:r w:rsidR="007D1D12">
        <w:rPr>
          <w:rFonts w:eastAsia="Times New Roman"/>
          <w:color w:val="000000" w:themeColor="text1"/>
          <w:szCs w:val="24"/>
        </w:rPr>
        <w:t xml:space="preserve">. Three of the four municipalities </w:t>
      </w:r>
      <w:r w:rsidR="00326643">
        <w:rPr>
          <w:rFonts w:eastAsia="Times New Roman"/>
          <w:color w:val="000000" w:themeColor="text1"/>
          <w:szCs w:val="24"/>
        </w:rPr>
        <w:t>had voter participation</w:t>
      </w:r>
      <w:r w:rsidR="00C924D6">
        <w:rPr>
          <w:rFonts w:eastAsia="Times New Roman"/>
          <w:color w:val="000000" w:themeColor="text1"/>
          <w:szCs w:val="24"/>
        </w:rPr>
        <w:t xml:space="preserve"> </w:t>
      </w:r>
      <w:r w:rsidR="00326643">
        <w:rPr>
          <w:rFonts w:eastAsia="Times New Roman"/>
          <w:color w:val="000000" w:themeColor="text1"/>
          <w:szCs w:val="24"/>
        </w:rPr>
        <w:t xml:space="preserve">rates of approximately 50% in the 2016 </w:t>
      </w:r>
      <w:r w:rsidR="000E009D">
        <w:rPr>
          <w:rFonts w:eastAsia="Times New Roman"/>
          <w:color w:val="000000" w:themeColor="text1"/>
          <w:szCs w:val="24"/>
        </w:rPr>
        <w:t xml:space="preserve">quadrennial election. </w:t>
      </w:r>
      <w:r w:rsidR="00C01F24">
        <w:rPr>
          <w:rFonts w:eastAsia="Times New Roman"/>
          <w:color w:val="000000" w:themeColor="text1"/>
          <w:szCs w:val="24"/>
        </w:rPr>
        <w:t xml:space="preserve">These </w:t>
      </w:r>
      <w:r w:rsidR="00BE403F">
        <w:rPr>
          <w:rFonts w:eastAsia="Times New Roman"/>
          <w:color w:val="000000" w:themeColor="text1"/>
          <w:szCs w:val="24"/>
        </w:rPr>
        <w:t xml:space="preserve">rates </w:t>
      </w:r>
      <w:r w:rsidR="00310128">
        <w:rPr>
          <w:rFonts w:eastAsia="Times New Roman"/>
          <w:color w:val="000000" w:themeColor="text1"/>
          <w:szCs w:val="24"/>
        </w:rPr>
        <w:t>were all above the provincial average</w:t>
      </w:r>
      <w:r w:rsidR="00757DE9">
        <w:rPr>
          <w:rFonts w:eastAsia="Times New Roman"/>
          <w:color w:val="000000" w:themeColor="text1"/>
          <w:szCs w:val="24"/>
        </w:rPr>
        <w:t xml:space="preserve">, but </w:t>
      </w:r>
      <w:r w:rsidR="00416FA7">
        <w:rPr>
          <w:rFonts w:eastAsia="Times New Roman"/>
          <w:color w:val="000000" w:themeColor="text1"/>
          <w:szCs w:val="24"/>
        </w:rPr>
        <w:t>when the results of the previous election and subsequent by</w:t>
      </w:r>
      <w:r w:rsidR="00ED40AD">
        <w:rPr>
          <w:rFonts w:eastAsia="Times New Roman"/>
          <w:color w:val="000000" w:themeColor="text1"/>
          <w:szCs w:val="24"/>
        </w:rPr>
        <w:t>-</w:t>
      </w:r>
      <w:r w:rsidR="00416FA7">
        <w:rPr>
          <w:rFonts w:eastAsia="Times New Roman"/>
          <w:color w:val="000000" w:themeColor="text1"/>
          <w:szCs w:val="24"/>
        </w:rPr>
        <w:t>elections are considered, the health of the municipalities’ democratic</w:t>
      </w:r>
      <w:r w:rsidR="0025663D">
        <w:rPr>
          <w:rFonts w:eastAsia="Times New Roman"/>
          <w:color w:val="000000" w:themeColor="text1"/>
          <w:szCs w:val="24"/>
        </w:rPr>
        <w:t xml:space="preserve"> institutions</w:t>
      </w:r>
      <w:r w:rsidR="00416FA7">
        <w:rPr>
          <w:rFonts w:eastAsia="Times New Roman"/>
          <w:color w:val="000000" w:themeColor="text1"/>
          <w:szCs w:val="24"/>
        </w:rPr>
        <w:t xml:space="preserve"> </w:t>
      </w:r>
      <w:r w:rsidR="00ED40AD">
        <w:rPr>
          <w:rFonts w:eastAsia="Times New Roman"/>
          <w:color w:val="000000" w:themeColor="text1"/>
          <w:szCs w:val="24"/>
        </w:rPr>
        <w:t xml:space="preserve">is far more questionable. </w:t>
      </w:r>
      <w:r w:rsidR="00D8524F">
        <w:rPr>
          <w:rFonts w:eastAsia="Times New Roman"/>
          <w:color w:val="000000" w:themeColor="text1"/>
          <w:szCs w:val="24"/>
        </w:rPr>
        <w:t>Fredericton Junction and Tracy both saw significant improvement</w:t>
      </w:r>
      <w:r w:rsidR="00523E66">
        <w:rPr>
          <w:rFonts w:eastAsia="Times New Roman"/>
          <w:color w:val="000000" w:themeColor="text1"/>
          <w:szCs w:val="24"/>
        </w:rPr>
        <w:t>s</w:t>
      </w:r>
      <w:r w:rsidR="00D8524F">
        <w:rPr>
          <w:rFonts w:eastAsia="Times New Roman"/>
          <w:color w:val="000000" w:themeColor="text1"/>
          <w:szCs w:val="24"/>
        </w:rPr>
        <w:t xml:space="preserve"> from 2012 to 2016</w:t>
      </w:r>
      <w:r w:rsidR="00523E66">
        <w:rPr>
          <w:rFonts w:eastAsia="Times New Roman"/>
          <w:color w:val="000000" w:themeColor="text1"/>
          <w:szCs w:val="24"/>
        </w:rPr>
        <w:t xml:space="preserve"> with one increasing its voter participation by ten points and the other </w:t>
      </w:r>
      <w:r w:rsidR="003D1D6C">
        <w:rPr>
          <w:rFonts w:eastAsia="Times New Roman"/>
          <w:color w:val="000000" w:themeColor="text1"/>
          <w:szCs w:val="24"/>
        </w:rPr>
        <w:t xml:space="preserve">recovering from an election by </w:t>
      </w:r>
      <w:r w:rsidR="0065160E">
        <w:rPr>
          <w:rFonts w:eastAsia="Times New Roman"/>
          <w:color w:val="000000" w:themeColor="text1"/>
          <w:szCs w:val="24"/>
        </w:rPr>
        <w:t>acclamation</w:t>
      </w:r>
      <w:r w:rsidR="003D1D6C">
        <w:rPr>
          <w:rFonts w:eastAsia="Times New Roman"/>
          <w:color w:val="000000" w:themeColor="text1"/>
          <w:szCs w:val="24"/>
        </w:rPr>
        <w:t xml:space="preserve">. </w:t>
      </w:r>
      <w:r w:rsidR="003F7EBB">
        <w:rPr>
          <w:rFonts w:eastAsia="Times New Roman"/>
          <w:color w:val="000000" w:themeColor="text1"/>
          <w:szCs w:val="24"/>
        </w:rPr>
        <w:t xml:space="preserve">These results also indicate a certain instability </w:t>
      </w:r>
      <w:r w:rsidR="001174A0">
        <w:rPr>
          <w:rFonts w:eastAsia="Times New Roman"/>
          <w:color w:val="000000" w:themeColor="text1"/>
          <w:szCs w:val="24"/>
        </w:rPr>
        <w:t xml:space="preserve">though. </w:t>
      </w:r>
      <w:r w:rsidR="00DF6C0E">
        <w:rPr>
          <w:rFonts w:eastAsia="Times New Roman"/>
          <w:color w:val="000000" w:themeColor="text1"/>
          <w:szCs w:val="24"/>
        </w:rPr>
        <w:t>Oromocto has the biggest challenge, however, as its already low voter participation dropped by 15 points between 2012 and 2016</w:t>
      </w:r>
      <w:r w:rsidR="00BE487B">
        <w:rPr>
          <w:rFonts w:eastAsia="Times New Roman"/>
          <w:color w:val="000000" w:themeColor="text1"/>
          <w:szCs w:val="24"/>
        </w:rPr>
        <w:t xml:space="preserve">. </w:t>
      </w:r>
    </w:p>
    <w:p w14:paraId="49FB7576" w14:textId="58E61C34" w:rsidR="00AC2DC3" w:rsidRDefault="00342B7F" w:rsidP="00900633">
      <w:pPr>
        <w:jc w:val="both"/>
        <w:rPr>
          <w:rFonts w:eastAsia="Times New Roman"/>
          <w:color w:val="000000" w:themeColor="text1"/>
          <w:szCs w:val="24"/>
        </w:rPr>
      </w:pPr>
      <w:r>
        <w:rPr>
          <w:rFonts w:eastAsia="Times New Roman"/>
          <w:color w:val="000000" w:themeColor="text1"/>
          <w:szCs w:val="24"/>
        </w:rPr>
        <w:t xml:space="preserve">The solution for the municipalities of proposed </w:t>
      </w:r>
      <w:r w:rsidR="00262CDE">
        <w:rPr>
          <w:rFonts w:eastAsia="Times New Roman"/>
          <w:color w:val="000000" w:themeColor="text1"/>
          <w:szCs w:val="24"/>
        </w:rPr>
        <w:t>Entity 47</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indicating that the inclusion of contiguous unincorporated populations can improve voter turnouts in existing municipalities.</w:t>
      </w:r>
      <w:r w:rsidR="0096354C">
        <w:rPr>
          <w:rFonts w:eastAsia="Times New Roman"/>
          <w:color w:val="000000" w:themeColor="text1"/>
          <w:szCs w:val="24"/>
        </w:rPr>
        <w:t xml:space="preserve"> </w:t>
      </w:r>
    </w:p>
    <w:tbl>
      <w:tblPr>
        <w:tblpPr w:leftFromText="180" w:rightFromText="180" w:vertAnchor="text" w:tblpY="1"/>
        <w:tblOverlap w:val="never"/>
        <w:tblW w:w="4716" w:type="dxa"/>
        <w:tblLook w:val="04A0" w:firstRow="1" w:lastRow="0" w:firstColumn="1" w:lastColumn="0" w:noHBand="0" w:noVBand="1"/>
      </w:tblPr>
      <w:tblGrid>
        <w:gridCol w:w="2033"/>
        <w:gridCol w:w="1321"/>
        <w:gridCol w:w="1362"/>
      </w:tblGrid>
      <w:tr w:rsidR="00AC2DC3" w:rsidRPr="00AC2DC3" w14:paraId="071395D7" w14:textId="77777777" w:rsidTr="00962B5C">
        <w:trPr>
          <w:trHeight w:val="310"/>
        </w:trPr>
        <w:tc>
          <w:tcPr>
            <w:tcW w:w="4716" w:type="dxa"/>
            <w:gridSpan w:val="3"/>
            <w:tcBorders>
              <w:top w:val="nil"/>
              <w:left w:val="nil"/>
              <w:bottom w:val="single" w:sz="4" w:space="0" w:color="FFFFFF"/>
              <w:right w:val="nil"/>
            </w:tcBorders>
            <w:shd w:val="clear" w:color="auto" w:fill="auto"/>
            <w:noWrap/>
            <w:vAlign w:val="center"/>
            <w:hideMark/>
          </w:tcPr>
          <w:p w14:paraId="4ED61C96" w14:textId="77777777" w:rsidR="00AC2DC3" w:rsidRPr="00AC2DC3" w:rsidRDefault="00AC2DC3" w:rsidP="00962B5C">
            <w:pPr>
              <w:spacing w:after="0" w:line="240" w:lineRule="auto"/>
              <w:jc w:val="center"/>
              <w:rPr>
                <w:rFonts w:eastAsia="Times New Roman"/>
                <w:b/>
                <w:bCs/>
                <w:color w:val="000000"/>
                <w:sz w:val="20"/>
                <w:szCs w:val="20"/>
                <w:lang w:val="en-CA" w:eastAsia="en-CA"/>
              </w:rPr>
            </w:pPr>
            <w:r w:rsidRPr="00AC2DC3">
              <w:rPr>
                <w:rFonts w:eastAsia="Times New Roman"/>
                <w:b/>
                <w:bCs/>
                <w:color w:val="000000"/>
                <w:sz w:val="20"/>
                <w:szCs w:val="20"/>
                <w:lang w:val="en-CA" w:eastAsia="en-CA"/>
              </w:rPr>
              <w:t>Status of By-Elections for Mayors and/or Councillors</w:t>
            </w:r>
          </w:p>
        </w:tc>
      </w:tr>
      <w:tr w:rsidR="00AC2DC3" w:rsidRPr="00AC2DC3" w14:paraId="2A6E0F75" w14:textId="77777777" w:rsidTr="00962B5C">
        <w:trPr>
          <w:trHeight w:val="970"/>
        </w:trPr>
        <w:tc>
          <w:tcPr>
            <w:tcW w:w="2033"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15680970" w14:textId="77777777" w:rsidR="00AC2DC3" w:rsidRPr="00AC2DC3" w:rsidRDefault="00AC2DC3" w:rsidP="00962B5C">
            <w:pPr>
              <w:spacing w:after="0" w:line="240" w:lineRule="auto"/>
              <w:jc w:val="center"/>
              <w:rPr>
                <w:rFonts w:eastAsia="Times New Roman"/>
                <w:b/>
                <w:bCs/>
                <w:color w:val="000000"/>
                <w:szCs w:val="24"/>
                <w:lang w:val="en-CA" w:eastAsia="en-CA"/>
              </w:rPr>
            </w:pPr>
            <w:r w:rsidRPr="00AC2DC3">
              <w:rPr>
                <w:rFonts w:eastAsia="Times New Roman"/>
                <w:b/>
                <w:bCs/>
                <w:color w:val="000000"/>
                <w:szCs w:val="24"/>
                <w:lang w:val="en-CA" w:eastAsia="en-CA"/>
              </w:rPr>
              <w:t>Municipality</w:t>
            </w:r>
          </w:p>
        </w:tc>
        <w:tc>
          <w:tcPr>
            <w:tcW w:w="2683" w:type="dxa"/>
            <w:gridSpan w:val="2"/>
            <w:tcBorders>
              <w:top w:val="nil"/>
              <w:left w:val="nil"/>
              <w:bottom w:val="single" w:sz="4" w:space="0" w:color="FFFFFF"/>
              <w:right w:val="single" w:sz="4" w:space="0" w:color="FFFFFF"/>
            </w:tcBorders>
            <w:shd w:val="clear" w:color="4472C4" w:fill="4472C4"/>
            <w:vAlign w:val="center"/>
            <w:hideMark/>
          </w:tcPr>
          <w:p w14:paraId="533EC73B" w14:textId="77777777" w:rsidR="00AC2DC3" w:rsidRPr="00AC2DC3" w:rsidRDefault="00AC2DC3" w:rsidP="00962B5C">
            <w:pPr>
              <w:spacing w:after="0" w:line="240" w:lineRule="auto"/>
              <w:jc w:val="center"/>
              <w:rPr>
                <w:rFonts w:eastAsia="Times New Roman"/>
                <w:b/>
                <w:bCs/>
                <w:color w:val="000000"/>
                <w:szCs w:val="24"/>
                <w:lang w:val="en-CA" w:eastAsia="en-CA"/>
              </w:rPr>
            </w:pPr>
            <w:r w:rsidRPr="00AC2DC3">
              <w:rPr>
                <w:rFonts w:eastAsia="Times New Roman"/>
                <w:b/>
                <w:bCs/>
                <w:color w:val="000000"/>
                <w:szCs w:val="24"/>
                <w:lang w:val="en-CA" w:eastAsia="en-CA"/>
              </w:rPr>
              <w:t>2018 By-Election(s)</w:t>
            </w:r>
          </w:p>
        </w:tc>
      </w:tr>
      <w:tr w:rsidR="00AC2DC3" w:rsidRPr="00AC2DC3" w14:paraId="6136CC4F" w14:textId="77777777" w:rsidTr="00962B5C">
        <w:trPr>
          <w:trHeight w:val="320"/>
        </w:trPr>
        <w:tc>
          <w:tcPr>
            <w:tcW w:w="2033" w:type="dxa"/>
            <w:vMerge/>
            <w:tcBorders>
              <w:top w:val="nil"/>
              <w:left w:val="single" w:sz="4" w:space="0" w:color="FFFFFF"/>
              <w:bottom w:val="single" w:sz="12" w:space="0" w:color="FFFFFF"/>
              <w:right w:val="single" w:sz="4" w:space="0" w:color="FFFFFF"/>
            </w:tcBorders>
            <w:vAlign w:val="center"/>
            <w:hideMark/>
          </w:tcPr>
          <w:p w14:paraId="5B53B9FE" w14:textId="77777777" w:rsidR="00AC2DC3" w:rsidRPr="00AC2DC3" w:rsidRDefault="00AC2DC3" w:rsidP="00962B5C">
            <w:pPr>
              <w:spacing w:after="0" w:line="240" w:lineRule="auto"/>
              <w:rPr>
                <w:rFonts w:eastAsia="Times New Roman"/>
                <w:b/>
                <w:bCs/>
                <w:color w:val="000000"/>
                <w:szCs w:val="24"/>
                <w:lang w:val="en-CA" w:eastAsia="en-CA"/>
              </w:rPr>
            </w:pPr>
          </w:p>
        </w:tc>
        <w:tc>
          <w:tcPr>
            <w:tcW w:w="1321" w:type="dxa"/>
            <w:tcBorders>
              <w:top w:val="nil"/>
              <w:left w:val="nil"/>
              <w:bottom w:val="nil"/>
              <w:right w:val="nil"/>
            </w:tcBorders>
            <w:shd w:val="clear" w:color="4472C4" w:fill="4472C4"/>
            <w:hideMark/>
          </w:tcPr>
          <w:p w14:paraId="361331D8" w14:textId="77777777" w:rsidR="00AC2DC3" w:rsidRPr="00AC2DC3" w:rsidRDefault="00AC2DC3" w:rsidP="00962B5C">
            <w:pPr>
              <w:spacing w:after="0" w:line="240" w:lineRule="auto"/>
              <w:jc w:val="center"/>
              <w:rPr>
                <w:rFonts w:eastAsia="Times New Roman"/>
                <w:b/>
                <w:bCs/>
                <w:color w:val="000000"/>
                <w:szCs w:val="24"/>
                <w:lang w:val="en-CA" w:eastAsia="en-CA"/>
              </w:rPr>
            </w:pPr>
            <w:r w:rsidRPr="00AC2DC3">
              <w:rPr>
                <w:rFonts w:eastAsia="Times New Roman"/>
                <w:b/>
                <w:bCs/>
                <w:color w:val="000000"/>
                <w:szCs w:val="24"/>
                <w:lang w:val="en-CA" w:eastAsia="en-CA"/>
              </w:rPr>
              <w:t>Mayor</w:t>
            </w:r>
          </w:p>
        </w:tc>
        <w:tc>
          <w:tcPr>
            <w:tcW w:w="1362" w:type="dxa"/>
            <w:tcBorders>
              <w:top w:val="nil"/>
              <w:left w:val="single" w:sz="4" w:space="0" w:color="FFFFFF"/>
              <w:bottom w:val="nil"/>
              <w:right w:val="nil"/>
            </w:tcBorders>
            <w:shd w:val="clear" w:color="4472C4" w:fill="4472C4"/>
            <w:hideMark/>
          </w:tcPr>
          <w:p w14:paraId="196C0CE1" w14:textId="77777777" w:rsidR="00AC2DC3" w:rsidRPr="00AC2DC3" w:rsidRDefault="00AC2DC3" w:rsidP="00962B5C">
            <w:pPr>
              <w:spacing w:after="0" w:line="240" w:lineRule="auto"/>
              <w:jc w:val="center"/>
              <w:rPr>
                <w:rFonts w:eastAsia="Times New Roman"/>
                <w:b/>
                <w:bCs/>
                <w:color w:val="000000"/>
                <w:szCs w:val="24"/>
                <w:lang w:val="en-CA" w:eastAsia="en-CA"/>
              </w:rPr>
            </w:pPr>
            <w:r w:rsidRPr="00AC2DC3">
              <w:rPr>
                <w:rFonts w:eastAsia="Times New Roman"/>
                <w:b/>
                <w:bCs/>
                <w:color w:val="000000"/>
                <w:szCs w:val="24"/>
                <w:lang w:val="en-CA" w:eastAsia="en-CA"/>
              </w:rPr>
              <w:t>Councillor</w:t>
            </w:r>
          </w:p>
        </w:tc>
      </w:tr>
      <w:tr w:rsidR="00AC2DC3" w:rsidRPr="00AC2DC3" w14:paraId="754D48B0" w14:textId="77777777" w:rsidTr="00962B5C">
        <w:trPr>
          <w:trHeight w:val="320"/>
        </w:trPr>
        <w:tc>
          <w:tcPr>
            <w:tcW w:w="2033" w:type="dxa"/>
            <w:tcBorders>
              <w:top w:val="nil"/>
              <w:left w:val="nil"/>
              <w:bottom w:val="nil"/>
              <w:right w:val="nil"/>
            </w:tcBorders>
            <w:shd w:val="clear" w:color="B4C6E7" w:fill="B4C6E7"/>
            <w:noWrap/>
            <w:vAlign w:val="bottom"/>
            <w:hideMark/>
          </w:tcPr>
          <w:p w14:paraId="0E48D1DD" w14:textId="77777777" w:rsidR="00AC2DC3" w:rsidRPr="00AC2DC3" w:rsidRDefault="00AC2DC3" w:rsidP="00962B5C">
            <w:pPr>
              <w:spacing w:after="0" w:line="240" w:lineRule="auto"/>
              <w:rPr>
                <w:rFonts w:eastAsia="Times New Roman"/>
                <w:color w:val="000000"/>
                <w:sz w:val="22"/>
                <w:lang w:val="en-CA" w:eastAsia="en-CA"/>
              </w:rPr>
            </w:pPr>
            <w:r w:rsidRPr="00AC2DC3">
              <w:rPr>
                <w:rFonts w:eastAsia="Times New Roman"/>
                <w:color w:val="000000"/>
                <w:sz w:val="22"/>
                <w:lang w:val="en-CA" w:eastAsia="en-CA"/>
              </w:rPr>
              <w:t>Fredericton Junction</w:t>
            </w:r>
          </w:p>
        </w:tc>
        <w:tc>
          <w:tcPr>
            <w:tcW w:w="1321" w:type="dxa"/>
            <w:tcBorders>
              <w:top w:val="single" w:sz="12" w:space="0" w:color="FFFFFF"/>
              <w:left w:val="single" w:sz="4" w:space="0" w:color="FFFFFF"/>
              <w:bottom w:val="nil"/>
              <w:right w:val="nil"/>
            </w:tcBorders>
            <w:shd w:val="clear" w:color="B4C6E7" w:fill="B4C6E7"/>
            <w:noWrap/>
            <w:vAlign w:val="bottom"/>
            <w:hideMark/>
          </w:tcPr>
          <w:p w14:paraId="1AA7B2A0" w14:textId="77777777" w:rsidR="00AC2DC3" w:rsidRPr="00AC2DC3" w:rsidRDefault="00AC2DC3" w:rsidP="00962B5C">
            <w:pPr>
              <w:spacing w:after="0" w:line="240" w:lineRule="auto"/>
              <w:jc w:val="right"/>
              <w:rPr>
                <w:rFonts w:eastAsia="Times New Roman"/>
                <w:color w:val="000000"/>
                <w:sz w:val="22"/>
                <w:lang w:val="en-CA" w:eastAsia="en-CA"/>
              </w:rPr>
            </w:pPr>
            <w:r w:rsidRPr="00AC2DC3">
              <w:rPr>
                <w:rFonts w:eastAsia="Times New Roman"/>
                <w:color w:val="000000"/>
                <w:sz w:val="22"/>
                <w:lang w:val="en-CA" w:eastAsia="en-CA"/>
              </w:rPr>
              <w:t>Acclaimed</w:t>
            </w:r>
          </w:p>
        </w:tc>
        <w:tc>
          <w:tcPr>
            <w:tcW w:w="1362" w:type="dxa"/>
            <w:tcBorders>
              <w:top w:val="single" w:sz="12" w:space="0" w:color="FFFFFF"/>
              <w:left w:val="single" w:sz="4" w:space="0" w:color="FFFFFF"/>
              <w:bottom w:val="nil"/>
              <w:right w:val="nil"/>
            </w:tcBorders>
            <w:shd w:val="clear" w:color="B4C6E7" w:fill="B4C6E7"/>
            <w:noWrap/>
            <w:vAlign w:val="bottom"/>
            <w:hideMark/>
          </w:tcPr>
          <w:p w14:paraId="2E7C6577" w14:textId="77777777" w:rsidR="00AC2DC3" w:rsidRPr="00AC2DC3" w:rsidRDefault="00AC2DC3" w:rsidP="00962B5C">
            <w:pPr>
              <w:spacing w:after="0" w:line="240" w:lineRule="auto"/>
              <w:jc w:val="right"/>
              <w:rPr>
                <w:rFonts w:eastAsia="Times New Roman"/>
                <w:color w:val="000000"/>
                <w:sz w:val="22"/>
                <w:lang w:val="en-CA" w:eastAsia="en-CA"/>
              </w:rPr>
            </w:pPr>
            <w:r w:rsidRPr="00AC2DC3">
              <w:rPr>
                <w:rFonts w:eastAsia="Times New Roman"/>
                <w:color w:val="000000"/>
                <w:sz w:val="22"/>
                <w:lang w:val="en-CA" w:eastAsia="en-CA"/>
              </w:rPr>
              <w:t>Contested</w:t>
            </w:r>
          </w:p>
        </w:tc>
      </w:tr>
      <w:tr w:rsidR="00AC2DC3" w:rsidRPr="00AC2DC3" w14:paraId="09ED540D" w14:textId="77777777" w:rsidTr="00962B5C">
        <w:trPr>
          <w:trHeight w:val="550"/>
        </w:trPr>
        <w:tc>
          <w:tcPr>
            <w:tcW w:w="2033" w:type="dxa"/>
            <w:tcBorders>
              <w:top w:val="single" w:sz="4" w:space="0" w:color="FFFFFF"/>
              <w:left w:val="nil"/>
              <w:bottom w:val="nil"/>
              <w:right w:val="nil"/>
            </w:tcBorders>
            <w:shd w:val="clear" w:color="D9E1F2" w:fill="D9E1F2"/>
            <w:noWrap/>
            <w:hideMark/>
          </w:tcPr>
          <w:p w14:paraId="30EA8C90" w14:textId="77777777" w:rsidR="00AC2DC3" w:rsidRPr="00AC2DC3" w:rsidRDefault="00AC2DC3" w:rsidP="00962B5C">
            <w:pPr>
              <w:spacing w:after="0" w:line="240" w:lineRule="auto"/>
              <w:rPr>
                <w:rFonts w:eastAsia="Times New Roman"/>
                <w:color w:val="000000"/>
                <w:sz w:val="22"/>
                <w:lang w:val="en-CA" w:eastAsia="en-CA"/>
              </w:rPr>
            </w:pPr>
            <w:r w:rsidRPr="00AC2DC3">
              <w:rPr>
                <w:rFonts w:eastAsia="Times New Roman"/>
                <w:color w:val="000000"/>
                <w:sz w:val="22"/>
                <w:lang w:val="en-CA" w:eastAsia="en-CA"/>
              </w:rPr>
              <w:t>Tracy</w:t>
            </w:r>
          </w:p>
        </w:tc>
        <w:tc>
          <w:tcPr>
            <w:tcW w:w="1321" w:type="dxa"/>
            <w:tcBorders>
              <w:top w:val="single" w:sz="4" w:space="0" w:color="FFFFFF"/>
              <w:left w:val="single" w:sz="4" w:space="0" w:color="FFFFFF"/>
              <w:bottom w:val="nil"/>
              <w:right w:val="nil"/>
            </w:tcBorders>
            <w:shd w:val="clear" w:color="D9E1F2" w:fill="D9E1F2"/>
            <w:noWrap/>
            <w:hideMark/>
          </w:tcPr>
          <w:p w14:paraId="311F3745" w14:textId="77777777" w:rsidR="00AC2DC3" w:rsidRPr="00AC2DC3" w:rsidRDefault="00AC2DC3" w:rsidP="00962B5C">
            <w:pPr>
              <w:spacing w:after="0" w:line="240" w:lineRule="auto"/>
              <w:jc w:val="right"/>
              <w:rPr>
                <w:rFonts w:eastAsia="Times New Roman"/>
                <w:color w:val="000000"/>
                <w:sz w:val="22"/>
                <w:lang w:val="en-CA" w:eastAsia="en-CA"/>
              </w:rPr>
            </w:pPr>
            <w:r w:rsidRPr="00AC2DC3">
              <w:rPr>
                <w:rFonts w:eastAsia="Times New Roman"/>
                <w:color w:val="000000"/>
                <w:sz w:val="22"/>
                <w:lang w:val="en-CA" w:eastAsia="en-CA"/>
              </w:rPr>
              <w:t>N/A</w:t>
            </w:r>
          </w:p>
        </w:tc>
        <w:tc>
          <w:tcPr>
            <w:tcW w:w="1362" w:type="dxa"/>
            <w:tcBorders>
              <w:top w:val="single" w:sz="4" w:space="0" w:color="FFFFFF"/>
              <w:left w:val="single" w:sz="4" w:space="0" w:color="FFFFFF"/>
              <w:bottom w:val="nil"/>
              <w:right w:val="nil"/>
            </w:tcBorders>
            <w:shd w:val="clear" w:color="D9E1F2" w:fill="D9E1F2"/>
            <w:hideMark/>
          </w:tcPr>
          <w:p w14:paraId="15982C6F" w14:textId="7F7C4F64" w:rsidR="00AC2DC3" w:rsidRPr="00AC2DC3" w:rsidRDefault="00AC2DC3" w:rsidP="00962B5C">
            <w:pPr>
              <w:spacing w:after="0" w:line="240" w:lineRule="auto"/>
              <w:jc w:val="right"/>
              <w:rPr>
                <w:rFonts w:eastAsia="Times New Roman"/>
                <w:color w:val="000000"/>
                <w:sz w:val="22"/>
                <w:lang w:val="en-CA" w:eastAsia="en-CA"/>
              </w:rPr>
            </w:pPr>
            <w:r w:rsidRPr="00AC2DC3">
              <w:rPr>
                <w:rFonts w:eastAsia="Times New Roman"/>
                <w:color w:val="000000"/>
                <w:sz w:val="22"/>
                <w:lang w:val="en-CA" w:eastAsia="en-CA"/>
              </w:rPr>
              <w:t>Acclaimed, 2 Contested</w:t>
            </w:r>
          </w:p>
        </w:tc>
      </w:tr>
      <w:tr w:rsidR="00AC2DC3" w:rsidRPr="00AC2DC3" w14:paraId="55F9AF00" w14:textId="77777777" w:rsidTr="00962B5C">
        <w:trPr>
          <w:trHeight w:val="310"/>
        </w:trPr>
        <w:tc>
          <w:tcPr>
            <w:tcW w:w="2033" w:type="dxa"/>
            <w:tcBorders>
              <w:top w:val="single" w:sz="4" w:space="0" w:color="FFFFFF"/>
              <w:left w:val="nil"/>
              <w:bottom w:val="nil"/>
              <w:right w:val="nil"/>
            </w:tcBorders>
            <w:shd w:val="clear" w:color="B4C6E7" w:fill="B4C6E7"/>
            <w:noWrap/>
            <w:vAlign w:val="bottom"/>
            <w:hideMark/>
          </w:tcPr>
          <w:p w14:paraId="70BE3343" w14:textId="77777777" w:rsidR="00AC2DC3" w:rsidRPr="00AC2DC3" w:rsidRDefault="00AC2DC3" w:rsidP="00962B5C">
            <w:pPr>
              <w:spacing w:after="0" w:line="240" w:lineRule="auto"/>
              <w:rPr>
                <w:rFonts w:eastAsia="Times New Roman"/>
                <w:color w:val="000000"/>
                <w:sz w:val="22"/>
                <w:lang w:val="en-CA" w:eastAsia="en-CA"/>
              </w:rPr>
            </w:pPr>
            <w:r w:rsidRPr="00AC2DC3">
              <w:rPr>
                <w:rFonts w:eastAsia="Times New Roman"/>
                <w:color w:val="000000"/>
                <w:sz w:val="22"/>
                <w:lang w:val="en-CA" w:eastAsia="en-CA"/>
              </w:rPr>
              <w:t>Oromocto</w:t>
            </w:r>
          </w:p>
        </w:tc>
        <w:tc>
          <w:tcPr>
            <w:tcW w:w="1321" w:type="dxa"/>
            <w:tcBorders>
              <w:top w:val="single" w:sz="4" w:space="0" w:color="FFFFFF"/>
              <w:left w:val="single" w:sz="4" w:space="0" w:color="FFFFFF"/>
              <w:bottom w:val="nil"/>
              <w:right w:val="nil"/>
            </w:tcBorders>
            <w:shd w:val="clear" w:color="B4C6E7" w:fill="B4C6E7"/>
            <w:noWrap/>
            <w:vAlign w:val="bottom"/>
            <w:hideMark/>
          </w:tcPr>
          <w:p w14:paraId="4BC1888D" w14:textId="77777777" w:rsidR="00AC2DC3" w:rsidRPr="00AC2DC3" w:rsidRDefault="00AC2DC3" w:rsidP="00962B5C">
            <w:pPr>
              <w:spacing w:after="0" w:line="240" w:lineRule="auto"/>
              <w:jc w:val="right"/>
              <w:rPr>
                <w:rFonts w:eastAsia="Times New Roman"/>
                <w:color w:val="000000"/>
                <w:sz w:val="22"/>
                <w:lang w:val="en-CA" w:eastAsia="en-CA"/>
              </w:rPr>
            </w:pPr>
            <w:r w:rsidRPr="00AC2DC3">
              <w:rPr>
                <w:rFonts w:eastAsia="Times New Roman"/>
                <w:color w:val="000000"/>
                <w:sz w:val="22"/>
                <w:lang w:val="en-CA" w:eastAsia="en-CA"/>
              </w:rPr>
              <w:t>N/A</w:t>
            </w:r>
          </w:p>
        </w:tc>
        <w:tc>
          <w:tcPr>
            <w:tcW w:w="1362" w:type="dxa"/>
            <w:tcBorders>
              <w:top w:val="single" w:sz="4" w:space="0" w:color="FFFFFF"/>
              <w:left w:val="single" w:sz="4" w:space="0" w:color="FFFFFF"/>
              <w:bottom w:val="nil"/>
              <w:right w:val="nil"/>
            </w:tcBorders>
            <w:shd w:val="clear" w:color="B4C6E7" w:fill="B4C6E7"/>
            <w:noWrap/>
            <w:vAlign w:val="bottom"/>
            <w:hideMark/>
          </w:tcPr>
          <w:p w14:paraId="5AA062C3" w14:textId="77777777" w:rsidR="00AC2DC3" w:rsidRPr="00AC2DC3" w:rsidRDefault="00AC2DC3" w:rsidP="00962B5C">
            <w:pPr>
              <w:spacing w:after="0" w:line="240" w:lineRule="auto"/>
              <w:jc w:val="right"/>
              <w:rPr>
                <w:rFonts w:eastAsia="Times New Roman"/>
                <w:color w:val="000000"/>
                <w:sz w:val="22"/>
                <w:lang w:val="en-CA" w:eastAsia="en-CA"/>
              </w:rPr>
            </w:pPr>
            <w:r w:rsidRPr="00AC2DC3">
              <w:rPr>
                <w:rFonts w:eastAsia="Times New Roman"/>
                <w:color w:val="000000"/>
                <w:sz w:val="22"/>
                <w:lang w:val="en-CA" w:eastAsia="en-CA"/>
              </w:rPr>
              <w:t>N/A</w:t>
            </w:r>
          </w:p>
        </w:tc>
      </w:tr>
      <w:tr w:rsidR="00AC2DC3" w:rsidRPr="00AC2DC3" w14:paraId="4FDE5F31" w14:textId="77777777" w:rsidTr="00962B5C">
        <w:trPr>
          <w:trHeight w:val="290"/>
        </w:trPr>
        <w:tc>
          <w:tcPr>
            <w:tcW w:w="2033" w:type="dxa"/>
            <w:tcBorders>
              <w:top w:val="single" w:sz="4" w:space="0" w:color="FFFFFF"/>
              <w:left w:val="nil"/>
              <w:bottom w:val="nil"/>
              <w:right w:val="nil"/>
            </w:tcBorders>
            <w:shd w:val="clear" w:color="D9E1F2" w:fill="D9E1F2"/>
            <w:noWrap/>
            <w:vAlign w:val="bottom"/>
            <w:hideMark/>
          </w:tcPr>
          <w:p w14:paraId="66BB7CDF" w14:textId="77777777" w:rsidR="00AC2DC3" w:rsidRPr="00AC2DC3" w:rsidRDefault="00AC2DC3" w:rsidP="00962B5C">
            <w:pPr>
              <w:spacing w:after="0" w:line="240" w:lineRule="auto"/>
              <w:rPr>
                <w:rFonts w:eastAsia="Times New Roman"/>
                <w:color w:val="000000"/>
                <w:sz w:val="22"/>
                <w:lang w:val="en-CA" w:eastAsia="en-CA"/>
              </w:rPr>
            </w:pPr>
            <w:r w:rsidRPr="00AC2DC3">
              <w:rPr>
                <w:rFonts w:eastAsia="Times New Roman"/>
                <w:color w:val="000000"/>
                <w:sz w:val="22"/>
                <w:lang w:val="en-CA" w:eastAsia="en-CA"/>
              </w:rPr>
              <w:t>Gagetown</w:t>
            </w:r>
          </w:p>
        </w:tc>
        <w:tc>
          <w:tcPr>
            <w:tcW w:w="1321" w:type="dxa"/>
            <w:tcBorders>
              <w:top w:val="single" w:sz="4" w:space="0" w:color="FFFFFF"/>
              <w:left w:val="single" w:sz="4" w:space="0" w:color="FFFFFF"/>
              <w:bottom w:val="nil"/>
              <w:right w:val="nil"/>
            </w:tcBorders>
            <w:shd w:val="clear" w:color="D9E1F2" w:fill="D9E1F2"/>
            <w:noWrap/>
            <w:vAlign w:val="bottom"/>
            <w:hideMark/>
          </w:tcPr>
          <w:p w14:paraId="41B26A1A" w14:textId="77777777" w:rsidR="00AC2DC3" w:rsidRPr="00AC2DC3" w:rsidRDefault="00AC2DC3" w:rsidP="00962B5C">
            <w:pPr>
              <w:spacing w:after="0" w:line="240" w:lineRule="auto"/>
              <w:jc w:val="right"/>
              <w:rPr>
                <w:rFonts w:eastAsia="Times New Roman"/>
                <w:color w:val="000000"/>
                <w:sz w:val="22"/>
                <w:lang w:val="en-CA" w:eastAsia="en-CA"/>
              </w:rPr>
            </w:pPr>
            <w:r w:rsidRPr="00AC2DC3">
              <w:rPr>
                <w:rFonts w:eastAsia="Times New Roman"/>
                <w:color w:val="000000"/>
                <w:sz w:val="22"/>
                <w:lang w:val="en-CA" w:eastAsia="en-CA"/>
              </w:rPr>
              <w:t>N/A</w:t>
            </w:r>
          </w:p>
        </w:tc>
        <w:tc>
          <w:tcPr>
            <w:tcW w:w="1362" w:type="dxa"/>
            <w:tcBorders>
              <w:top w:val="single" w:sz="4" w:space="0" w:color="FFFFFF"/>
              <w:left w:val="single" w:sz="4" w:space="0" w:color="FFFFFF"/>
              <w:bottom w:val="nil"/>
              <w:right w:val="nil"/>
            </w:tcBorders>
            <w:shd w:val="clear" w:color="D9E1F2" w:fill="D9E1F2"/>
            <w:noWrap/>
            <w:vAlign w:val="bottom"/>
            <w:hideMark/>
          </w:tcPr>
          <w:p w14:paraId="749D4148" w14:textId="77777777" w:rsidR="00AC2DC3" w:rsidRPr="00AC2DC3" w:rsidRDefault="00AC2DC3" w:rsidP="00962B5C">
            <w:pPr>
              <w:spacing w:after="0" w:line="240" w:lineRule="auto"/>
              <w:jc w:val="right"/>
              <w:rPr>
                <w:rFonts w:eastAsia="Times New Roman"/>
                <w:color w:val="000000"/>
                <w:sz w:val="22"/>
                <w:lang w:val="en-CA" w:eastAsia="en-CA"/>
              </w:rPr>
            </w:pPr>
            <w:r w:rsidRPr="00AC2DC3">
              <w:rPr>
                <w:rFonts w:eastAsia="Times New Roman"/>
                <w:color w:val="000000"/>
                <w:sz w:val="22"/>
                <w:lang w:val="en-CA" w:eastAsia="en-CA"/>
              </w:rPr>
              <w:t>N/A</w:t>
            </w:r>
          </w:p>
        </w:tc>
      </w:tr>
      <w:tr w:rsidR="00AC2DC3" w:rsidRPr="00AC2DC3" w14:paraId="337149C5" w14:textId="77777777" w:rsidTr="00962B5C">
        <w:trPr>
          <w:trHeight w:val="290"/>
        </w:trPr>
        <w:tc>
          <w:tcPr>
            <w:tcW w:w="4716" w:type="dxa"/>
            <w:gridSpan w:val="3"/>
            <w:tcBorders>
              <w:top w:val="nil"/>
              <w:left w:val="nil"/>
              <w:bottom w:val="nil"/>
              <w:right w:val="nil"/>
            </w:tcBorders>
            <w:shd w:val="clear" w:color="auto" w:fill="auto"/>
            <w:noWrap/>
            <w:vAlign w:val="bottom"/>
            <w:hideMark/>
          </w:tcPr>
          <w:p w14:paraId="20F6B458" w14:textId="77777777" w:rsidR="00AC2DC3" w:rsidRPr="00AC2DC3" w:rsidRDefault="00AC2DC3" w:rsidP="00962B5C">
            <w:pPr>
              <w:spacing w:after="0" w:line="240" w:lineRule="auto"/>
              <w:rPr>
                <w:rFonts w:eastAsia="Times New Roman"/>
                <w:color w:val="000000"/>
                <w:sz w:val="20"/>
                <w:szCs w:val="20"/>
                <w:lang w:val="en-CA" w:eastAsia="en-CA"/>
              </w:rPr>
            </w:pPr>
            <w:r w:rsidRPr="00AC2DC3">
              <w:rPr>
                <w:rFonts w:eastAsia="Times New Roman"/>
                <w:color w:val="000000"/>
                <w:sz w:val="20"/>
                <w:szCs w:val="20"/>
                <w:lang w:val="en-CA" w:eastAsia="en-CA"/>
              </w:rPr>
              <w:t>1. Elections NB</w:t>
            </w:r>
          </w:p>
        </w:tc>
      </w:tr>
    </w:tbl>
    <w:p w14:paraId="715AE7AE" w14:textId="5096F32A" w:rsidR="00E236EA" w:rsidRDefault="00E236EA" w:rsidP="00900633">
      <w:pPr>
        <w:jc w:val="both"/>
        <w:rPr>
          <w:rFonts w:eastAsia="Times New Roman"/>
          <w:color w:val="000000" w:themeColor="text1"/>
          <w:szCs w:val="24"/>
        </w:rPr>
      </w:pP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6A544EAA" w:rsidR="002D1F21" w:rsidRPr="00226288" w:rsidRDefault="00262CDE" w:rsidP="00900633">
      <w:pPr>
        <w:jc w:val="both"/>
      </w:pPr>
      <w:r>
        <w:t>Entity 47</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261630CA" w14:textId="7E366955" w:rsidR="00516E34" w:rsidRPr="00C85643" w:rsidRDefault="00226288" w:rsidP="00900633">
      <w:pPr>
        <w:jc w:val="both"/>
        <w:rPr>
          <w:rFonts w:eastAsia="Times New Roman"/>
          <w:color w:val="000000"/>
          <w:sz w:val="20"/>
          <w:szCs w:val="20"/>
          <w:lang w:val="en-CA" w:eastAsia="en-CA"/>
        </w:rPr>
      </w:pPr>
      <w:r w:rsidRPr="00226288">
        <w:t xml:space="preserve">Because its population </w:t>
      </w:r>
      <w:r w:rsidR="0096354C">
        <w:t>is above 10</w:t>
      </w:r>
      <w:r w:rsidR="00275F78">
        <w:t>000</w:t>
      </w:r>
      <w:r w:rsidRPr="00226288">
        <w:t xml:space="preserve">, </w:t>
      </w:r>
      <w:r w:rsidR="00262CDE">
        <w:t>Entity 47</w:t>
      </w:r>
      <w:r w:rsidR="00B125F3">
        <w:t xml:space="preserve"> would qualify as a ‘Group </w:t>
      </w:r>
      <w:r w:rsidR="0096354C">
        <w:t>B</w:t>
      </w:r>
      <w:r w:rsidR="003B2A08">
        <w:t>’</w:t>
      </w:r>
      <w:r w:rsidRPr="00226288">
        <w:t xml:space="preserve"> municipality</w:t>
      </w:r>
      <w:r w:rsidR="003011C3">
        <w:t xml:space="preserve">. </w:t>
      </w:r>
      <w:r w:rsidR="00516E34">
        <w:t xml:space="preserve">As Entity 47’s assessment </w:t>
      </w:r>
      <w:r w:rsidR="00516E34" w:rsidRPr="00F9508A">
        <w:rPr>
          <w:szCs w:val="24"/>
        </w:rPr>
        <w:t xml:space="preserve">base </w:t>
      </w:r>
      <w:r w:rsidR="00516E34" w:rsidRPr="00C85643">
        <w:rPr>
          <w:szCs w:val="24"/>
        </w:rPr>
        <w:t xml:space="preserve">per capita would be lesser than the group average, it would be entitled to an annual equalization grant of </w:t>
      </w:r>
      <w:r w:rsidR="00487714" w:rsidRPr="00C85643">
        <w:rPr>
          <w:rFonts w:eastAsia="Times New Roman"/>
          <w:color w:val="000000"/>
          <w:szCs w:val="24"/>
          <w:lang w:val="en-CA" w:eastAsia="en-CA"/>
        </w:rPr>
        <w:t xml:space="preserve">$2,288,346 </w:t>
      </w:r>
      <w:r w:rsidR="00516E34" w:rsidRPr="00C85643">
        <w:rPr>
          <w:rFonts w:eastAsia="Times New Roman"/>
          <w:color w:val="000000"/>
          <w:szCs w:val="24"/>
          <w:lang w:val="en-CA" w:eastAsia="en-CA"/>
        </w:rPr>
        <w:t>to</w:t>
      </w:r>
      <w:r w:rsidR="00516E34" w:rsidRPr="00F9508A">
        <w:rPr>
          <w:rFonts w:eastAsia="Times New Roman"/>
          <w:color w:val="000000"/>
          <w:szCs w:val="24"/>
          <w:lang w:val="en-CA" w:eastAsia="en-CA"/>
        </w:rPr>
        <w:t xml:space="preserve"> ensure</w:t>
      </w:r>
      <w:r w:rsidR="00516E34" w:rsidRPr="009E0C04">
        <w:rPr>
          <w:rFonts w:eastAsia="Times New Roman"/>
          <w:color w:val="000000"/>
          <w:szCs w:val="24"/>
          <w:lang w:val="en-CA" w:eastAsia="en-CA"/>
        </w:rPr>
        <w:t xml:space="preserve"> equal opportunity among the 53 municipal entities. </w:t>
      </w:r>
      <w:r w:rsidR="00516E34" w:rsidRPr="009E0C04">
        <w:rPr>
          <w:szCs w:val="24"/>
        </w:rPr>
        <w:t>With the tax room transfer from the provincial</w:t>
      </w:r>
      <w:r w:rsidR="00516E34" w:rsidRPr="00C61508">
        <w:rPr>
          <w:szCs w:val="24"/>
        </w:rPr>
        <w:t xml:space="preserve"> </w:t>
      </w:r>
      <w:r w:rsidR="00516E34" w:rsidRPr="00DE7D90">
        <w:rPr>
          <w:szCs w:val="24"/>
        </w:rPr>
        <w:t xml:space="preserve">government </w:t>
      </w:r>
      <w:r w:rsidR="00516E34" w:rsidRPr="00F9508A">
        <w:rPr>
          <w:szCs w:val="24"/>
        </w:rPr>
        <w:t>to municipal governments included in the proposed new framework, Entity 4</w:t>
      </w:r>
      <w:r w:rsidR="00516E34">
        <w:rPr>
          <w:szCs w:val="24"/>
        </w:rPr>
        <w:t>7</w:t>
      </w:r>
      <w:r w:rsidR="00516E34" w:rsidRPr="00F9508A">
        <w:rPr>
          <w:szCs w:val="24"/>
        </w:rPr>
        <w:t xml:space="preserve">’s assessment </w:t>
      </w:r>
      <w:r w:rsidR="00516E34" w:rsidRPr="00C85643">
        <w:rPr>
          <w:szCs w:val="24"/>
        </w:rPr>
        <w:t xml:space="preserve">base </w:t>
      </w:r>
      <w:r w:rsidR="00C85643" w:rsidRPr="00C85643">
        <w:rPr>
          <w:szCs w:val="24"/>
        </w:rPr>
        <w:t xml:space="preserve">of </w:t>
      </w:r>
      <w:r w:rsidR="00C85643" w:rsidRPr="00C85643">
        <w:rPr>
          <w:rFonts w:eastAsia="Times New Roman"/>
          <w:color w:val="000000"/>
          <w:szCs w:val="24"/>
          <w:lang w:val="en-CA" w:eastAsia="en-CA"/>
        </w:rPr>
        <w:t>$1,776,253,100</w:t>
      </w:r>
      <w:r w:rsidR="00516E34" w:rsidRPr="00C85643">
        <w:rPr>
          <w:rFonts w:eastAsia="Times New Roman"/>
          <w:color w:val="000000"/>
          <w:szCs w:val="24"/>
          <w:lang w:val="en-CA" w:eastAsia="en-CA"/>
        </w:rPr>
        <w:t xml:space="preserve"> </w:t>
      </w:r>
      <w:r w:rsidR="00516E34" w:rsidRPr="00C85643">
        <w:rPr>
          <w:szCs w:val="24"/>
        </w:rPr>
        <w:t>would</w:t>
      </w:r>
      <w:r w:rsidR="00516E34" w:rsidRPr="00DE7D90">
        <w:rPr>
          <w:szCs w:val="24"/>
        </w:rPr>
        <w:t xml:space="preserve"> </w:t>
      </w:r>
      <w:r w:rsidR="00516E34" w:rsidRPr="00DE7D90">
        <w:rPr>
          <w:szCs w:val="24"/>
        </w:rPr>
        <w:lastRenderedPageBreak/>
        <w:t>be able to yield more revenue than it could under the current local governance regime</w:t>
      </w:r>
      <w:r w:rsidR="00516E34" w:rsidRPr="00A26B00">
        <w:rPr>
          <w:szCs w:val="24"/>
        </w:rPr>
        <w:t>.</w:t>
      </w:r>
      <w:r w:rsidR="00516E34" w:rsidRPr="004E399E">
        <w:rPr>
          <w:szCs w:val="24"/>
        </w:rPr>
        <w:t xml:space="preserve"> Equal Opportunity among municipalities remains a priority in the new framework, but the primary guarantor of said equality is now tax warrants rather than equalization</w:t>
      </w:r>
      <w:r w:rsidR="00516E34">
        <w:t xml:space="preserve"> payments.</w:t>
      </w:r>
    </w:p>
    <w:p w14:paraId="61B53BEF" w14:textId="0749678D"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262CDE">
        <w:t>Entity 47</w:t>
      </w:r>
      <w:r w:rsidRPr="00226288">
        <w:t xml:space="preserve">, nor does it indicate that the entire municipality will operate with one uniform property tax rate. </w:t>
      </w:r>
      <w:r w:rsidRPr="00226288">
        <w:rPr>
          <w:rFonts w:eastAsia="Times New Roman"/>
          <w:szCs w:val="24"/>
        </w:rPr>
        <w:t xml:space="preserve">Because </w:t>
      </w:r>
      <w:r w:rsidR="00262CDE">
        <w:rPr>
          <w:rFonts w:eastAsia="Times New Roman"/>
          <w:szCs w:val="24"/>
        </w:rPr>
        <w:t>Entity 47</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5A2A9B4C"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262CDE">
        <w:t>Entity 47</w:t>
      </w:r>
      <w:r w:rsidR="003011C3">
        <w:t xml:space="preserve"> could easily implement a two tiered property tax regime similar to Fredericton and Dieppe where those inside the urban area and those outside are charged substantially different rates.  </w:t>
      </w:r>
    </w:p>
    <w:p w14:paraId="42654CD4" w14:textId="4FDC67C8" w:rsidR="00226288" w:rsidRPr="00226288" w:rsidRDefault="004F3F3A" w:rsidP="00900633">
      <w:pPr>
        <w:jc w:val="both"/>
      </w:pPr>
      <w:r>
        <w:rPr>
          <w:noProof/>
          <w:szCs w:val="24"/>
        </w:rPr>
        <w:drawing>
          <wp:anchor distT="0" distB="0" distL="114300" distR="114300" simplePos="0" relativeHeight="251663360" behindDoc="0" locked="0" layoutInCell="1" allowOverlap="1" wp14:anchorId="57BD3108" wp14:editId="59CB6918">
            <wp:simplePos x="0" y="0"/>
            <wp:positionH relativeFrom="column">
              <wp:posOffset>1861185</wp:posOffset>
            </wp:positionH>
            <wp:positionV relativeFrom="paragraph">
              <wp:posOffset>598805</wp:posOffset>
            </wp:positionV>
            <wp:extent cx="4065905" cy="3317875"/>
            <wp:effectExtent l="0" t="0" r="0" b="0"/>
            <wp:wrapThrough wrapText="bothSides">
              <wp:wrapPolygon edited="0">
                <wp:start x="0" y="0"/>
                <wp:lineTo x="0" y="21455"/>
                <wp:lineTo x="21455" y="21455"/>
                <wp:lineTo x="214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65905" cy="331787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t xml:space="preserve">Overall, then, </w:t>
      </w:r>
      <w:r w:rsidR="00262CDE">
        <w:t>Entity 47</w:t>
      </w:r>
      <w:r w:rsidR="00226288" w:rsidRPr="00226288">
        <w:t xml:space="preserve"> would have a financial base appropriate to its size and population. With such a financial base, the municipal entity could be as ambitious or cautious in its service provision as its residents please. </w:t>
      </w:r>
    </w:p>
    <w:p w14:paraId="43413FBA" w14:textId="7E103C0B" w:rsidR="00226288" w:rsidRPr="00226288" w:rsidRDefault="00226288" w:rsidP="00226288">
      <w:pPr>
        <w:rPr>
          <w:b/>
          <w:bCs/>
        </w:rPr>
      </w:pPr>
      <w:r w:rsidRPr="00226288">
        <w:rPr>
          <w:b/>
          <w:bCs/>
        </w:rPr>
        <w:t>Division of Municipal and Provincial Responsibilities</w:t>
      </w:r>
    </w:p>
    <w:p w14:paraId="69E71E05" w14:textId="193D8367" w:rsidR="003003FC" w:rsidRPr="00226288" w:rsidRDefault="003003FC" w:rsidP="003003FC">
      <w:pPr>
        <w:jc w:val="both"/>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w:t>
      </w:r>
      <w:r w:rsidRPr="00226288">
        <w:rPr>
          <w:rFonts w:eastAsia="Times New Roman"/>
          <w:szCs w:val="24"/>
        </w:rPr>
        <w:lastRenderedPageBreak/>
        <w:t xml:space="preserve">expansion is done is entirely up to the residents of </w:t>
      </w:r>
      <w:r>
        <w:rPr>
          <w:rFonts w:eastAsia="Times New Roman"/>
          <w:szCs w:val="24"/>
        </w:rPr>
        <w:t>Entity 4</w:t>
      </w:r>
      <w:r w:rsidR="00306270">
        <w:rPr>
          <w:rFonts w:eastAsia="Times New Roman"/>
          <w:szCs w:val="24"/>
        </w:rPr>
        <w:t>7</w:t>
      </w:r>
      <w:r w:rsidRPr="00226288">
        <w:rPr>
          <w:rFonts w:eastAsia="Times New Roman"/>
          <w:szCs w:val="24"/>
        </w:rPr>
        <w:t>, and the tax rates of the entity would reflect this level of service</w:t>
      </w:r>
      <w:r>
        <w:rPr>
          <w:rFonts w:eastAsia="Times New Roman"/>
          <w:szCs w:val="24"/>
        </w:rPr>
        <w:t xml:space="preserve">. </w:t>
      </w: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3641ABCF" w14:textId="62C0A737" w:rsidR="003003FC" w:rsidRDefault="00262CDE" w:rsidP="003003FC">
      <w:pPr>
        <w:jc w:val="both"/>
        <w:rPr>
          <w:rFonts w:eastAsia="Times New Roman"/>
          <w:szCs w:val="24"/>
        </w:rPr>
      </w:pPr>
      <w:r>
        <w:rPr>
          <w:rFonts w:eastAsia="Times New Roman"/>
          <w:szCs w:val="24"/>
        </w:rPr>
        <w:t>Entity 47</w:t>
      </w:r>
      <w:r w:rsidR="003003FC" w:rsidRPr="00226288">
        <w:rPr>
          <w:rFonts w:eastAsia="Times New Roman"/>
          <w:szCs w:val="24"/>
        </w:rPr>
        <w:t xml:space="preserve"> would belong to </w:t>
      </w:r>
      <w:r>
        <w:rPr>
          <w:rFonts w:eastAsia="Times New Roman"/>
          <w:szCs w:val="24"/>
        </w:rPr>
        <w:t>RSD 11</w:t>
      </w:r>
      <w:r w:rsidR="003003FC" w:rsidRPr="00226288">
        <w:rPr>
          <w:rFonts w:eastAsia="Times New Roman"/>
          <w:szCs w:val="24"/>
        </w:rPr>
        <w:t xml:space="preserve"> along with </w:t>
      </w:r>
      <w:bookmarkStart w:id="0" w:name="_Hlk40085397"/>
      <w:r w:rsidR="003003FC">
        <w:rPr>
          <w:rFonts w:eastAsia="Times New Roman"/>
          <w:szCs w:val="24"/>
        </w:rPr>
        <w:t xml:space="preserve">Entities </w:t>
      </w:r>
      <w:r w:rsidR="006303E7">
        <w:rPr>
          <w:rFonts w:eastAsia="Times New Roman"/>
          <w:szCs w:val="24"/>
        </w:rPr>
        <w:t>4</w:t>
      </w:r>
      <w:r w:rsidR="009B7460">
        <w:rPr>
          <w:rFonts w:eastAsia="Times New Roman"/>
          <w:szCs w:val="24"/>
        </w:rPr>
        <w:t>8</w:t>
      </w:r>
      <w:r w:rsidR="006303E7">
        <w:rPr>
          <w:rFonts w:eastAsia="Times New Roman"/>
          <w:szCs w:val="24"/>
        </w:rPr>
        <w:t xml:space="preserve">, </w:t>
      </w:r>
      <w:r w:rsidR="003003FC">
        <w:rPr>
          <w:rFonts w:eastAsia="Times New Roman"/>
          <w:szCs w:val="24"/>
        </w:rPr>
        <w:t>4</w:t>
      </w:r>
      <w:r w:rsidR="009B7460">
        <w:rPr>
          <w:rFonts w:eastAsia="Times New Roman"/>
          <w:szCs w:val="24"/>
        </w:rPr>
        <w:t>9, and 50</w:t>
      </w:r>
      <w:r w:rsidR="003003FC" w:rsidRPr="00226288">
        <w:rPr>
          <w:rFonts w:eastAsia="Times New Roman"/>
          <w:szCs w:val="24"/>
        </w:rPr>
        <w:t>. As with each municipal entity</w:t>
      </w:r>
      <w:bookmarkEnd w:id="0"/>
      <w:r w:rsidR="003003FC" w:rsidRPr="00226288">
        <w:rPr>
          <w:rFonts w:eastAsia="Times New Roman"/>
          <w:szCs w:val="24"/>
        </w:rPr>
        <w:t xml:space="preserve">, RSDs could conceivably be named, but this would be left to each to determine for itself. All </w:t>
      </w:r>
      <w:r w:rsidR="003003FC">
        <w:rPr>
          <w:rFonts w:eastAsia="Times New Roman"/>
          <w:szCs w:val="24"/>
        </w:rPr>
        <w:t>e</w:t>
      </w:r>
      <w:r w:rsidR="003003FC" w:rsidRPr="00226288">
        <w:rPr>
          <w:rFonts w:eastAsia="Times New Roman"/>
          <w:szCs w:val="24"/>
        </w:rPr>
        <w:t xml:space="preserve">ntities </w:t>
      </w:r>
      <w:r w:rsidR="003003FC">
        <w:rPr>
          <w:rFonts w:eastAsia="Times New Roman"/>
          <w:szCs w:val="24"/>
        </w:rPr>
        <w:t>w</w:t>
      </w:r>
      <w:r w:rsidR="003003FC" w:rsidRPr="00226288">
        <w:rPr>
          <w:rFonts w:eastAsia="Times New Roman"/>
          <w:szCs w:val="24"/>
        </w:rPr>
        <w:t>ould b</w:t>
      </w:r>
      <w:r w:rsidR="003003FC">
        <w:rPr>
          <w:rFonts w:eastAsia="Times New Roman"/>
          <w:szCs w:val="24"/>
        </w:rPr>
        <w:t xml:space="preserve">e </w:t>
      </w:r>
      <w:r w:rsidR="003003FC" w:rsidRPr="00226288">
        <w:rPr>
          <w:rFonts w:eastAsia="Times New Roman"/>
          <w:szCs w:val="24"/>
        </w:rPr>
        <w:t xml:space="preserve">partners in the provision of regional services, with each contributing in accordance with their respective demographic and tax bases. </w:t>
      </w:r>
    </w:p>
    <w:p w14:paraId="664BE818" w14:textId="44773D71" w:rsidR="003003FC" w:rsidRDefault="003003FC" w:rsidP="003003FC">
      <w:pPr>
        <w:jc w:val="both"/>
        <w:rPr>
          <w:rFonts w:eastAsia="Times New Roman"/>
          <w:szCs w:val="24"/>
        </w:rPr>
      </w:pPr>
      <w:r w:rsidRPr="00226288">
        <w:rPr>
          <w:rFonts w:eastAsia="Times New Roman"/>
          <w:szCs w:val="24"/>
        </w:rPr>
        <w:t xml:space="preserve">While this region is too large to be incorporated into a single municipality, the populations nonetheless have a great deal of shared experiences and challenges. </w:t>
      </w:r>
      <w:r w:rsidR="00262CDE">
        <w:rPr>
          <w:rFonts w:eastAsia="Times New Roman"/>
          <w:szCs w:val="24"/>
        </w:rPr>
        <w:t>RSD 11</w:t>
      </w:r>
      <w:r>
        <w:rPr>
          <w:rFonts w:eastAsia="Times New Roman"/>
          <w:szCs w:val="24"/>
        </w:rPr>
        <w:t xml:space="preserve"> covers portions of </w:t>
      </w:r>
      <w:r w:rsidR="006B25D4">
        <w:rPr>
          <w:rFonts w:eastAsia="Times New Roman"/>
          <w:szCs w:val="24"/>
        </w:rPr>
        <w:t xml:space="preserve">York, </w:t>
      </w:r>
      <w:r w:rsidR="009C2886">
        <w:rPr>
          <w:rFonts w:eastAsia="Times New Roman"/>
          <w:szCs w:val="24"/>
        </w:rPr>
        <w:t xml:space="preserve">Queens, </w:t>
      </w:r>
      <w:r w:rsidR="00042040">
        <w:rPr>
          <w:rFonts w:eastAsia="Times New Roman"/>
          <w:szCs w:val="24"/>
        </w:rPr>
        <w:t xml:space="preserve">and </w:t>
      </w:r>
      <w:r w:rsidR="002F73F5">
        <w:rPr>
          <w:rFonts w:eastAsia="Times New Roman"/>
          <w:szCs w:val="24"/>
        </w:rPr>
        <w:t>Sunbury</w:t>
      </w:r>
      <w:r w:rsidR="00042040">
        <w:rPr>
          <w:rFonts w:eastAsia="Times New Roman"/>
          <w:szCs w:val="24"/>
        </w:rPr>
        <w:t xml:space="preserve"> counties</w:t>
      </w:r>
      <w:r w:rsidR="00957D47">
        <w:rPr>
          <w:rFonts w:eastAsia="Times New Roman"/>
          <w:szCs w:val="24"/>
        </w:rPr>
        <w:t xml:space="preserve"> </w:t>
      </w:r>
      <w:r>
        <w:rPr>
          <w:rFonts w:eastAsia="Times New Roman"/>
          <w:szCs w:val="24"/>
        </w:rPr>
        <w:t>and the distribution of commuters reflects the economic interdependence within these areas</w:t>
      </w:r>
      <w:r w:rsidR="00A02599">
        <w:rPr>
          <w:rFonts w:eastAsia="Times New Roman"/>
          <w:szCs w:val="24"/>
        </w:rPr>
        <w:t xml:space="preserve">. </w:t>
      </w:r>
      <w:r w:rsidR="004F7111">
        <w:rPr>
          <w:rFonts w:eastAsia="Times New Roman"/>
          <w:szCs w:val="24"/>
        </w:rPr>
        <w:t xml:space="preserve">Entity 50, which is entirely contained </w:t>
      </w:r>
      <w:r w:rsidR="00C81BB4">
        <w:rPr>
          <w:rFonts w:eastAsia="Times New Roman"/>
          <w:szCs w:val="24"/>
        </w:rPr>
        <w:t xml:space="preserve">within York county, has 77% of its commuters leave their own communities </w:t>
      </w:r>
      <w:r w:rsidR="006A7C07">
        <w:rPr>
          <w:rFonts w:eastAsia="Times New Roman"/>
          <w:szCs w:val="24"/>
        </w:rPr>
        <w:t xml:space="preserve">but remain within the county. </w:t>
      </w:r>
      <w:r w:rsidR="008C1BBA">
        <w:rPr>
          <w:rFonts w:eastAsia="Times New Roman"/>
          <w:szCs w:val="24"/>
        </w:rPr>
        <w:t xml:space="preserve"> </w:t>
      </w:r>
      <w:r w:rsidR="004057B4">
        <w:rPr>
          <w:rFonts w:eastAsia="Times New Roman"/>
          <w:szCs w:val="24"/>
        </w:rPr>
        <w:t xml:space="preserve">Likewise, the portions of the other three proposed entities not included in York county </w:t>
      </w:r>
      <w:r w:rsidR="003B5EEE">
        <w:rPr>
          <w:rFonts w:eastAsia="Times New Roman"/>
          <w:szCs w:val="24"/>
        </w:rPr>
        <w:t>travel outside their counties of origins for work. The only exception in this regard is Entity 47</w:t>
      </w:r>
      <w:r w:rsidR="00B82E97">
        <w:rPr>
          <w:rFonts w:eastAsia="Times New Roman"/>
          <w:szCs w:val="24"/>
        </w:rPr>
        <w:t xml:space="preserve"> which does support a significant group of commuters who remain within their own communities in </w:t>
      </w:r>
      <w:r w:rsidR="000C7E7B">
        <w:rPr>
          <w:rFonts w:eastAsia="Times New Roman"/>
          <w:szCs w:val="24"/>
        </w:rPr>
        <w:t xml:space="preserve">Sunbury county. Overall, however, </w:t>
      </w:r>
      <w:r w:rsidR="00BE6885">
        <w:rPr>
          <w:rFonts w:eastAsia="Times New Roman"/>
          <w:szCs w:val="24"/>
        </w:rPr>
        <w:t xml:space="preserve">the economies of the four entities of RSD 11 are dependent on the </w:t>
      </w:r>
      <w:r w:rsidR="00CC30B9">
        <w:rPr>
          <w:rFonts w:eastAsia="Times New Roman"/>
          <w:szCs w:val="24"/>
        </w:rPr>
        <w:t>economic hub of Fredericton proper. In addition to lower costs associated with shared regional services, this</w:t>
      </w:r>
      <w:r w:rsidR="00933BDF">
        <w:rPr>
          <w:rFonts w:eastAsia="Times New Roman"/>
          <w:szCs w:val="24"/>
        </w:rPr>
        <w:t xml:space="preserve"> regional cooperation will therefore also allow </w:t>
      </w:r>
      <w:r>
        <w:rPr>
          <w:rFonts w:eastAsia="Times New Roman"/>
          <w:szCs w:val="24"/>
        </w:rPr>
        <w:t xml:space="preserve">for further collaborative economic planning to reflect the interconnected economies of these communities. </w:t>
      </w:r>
    </w:p>
    <w:p w14:paraId="0913CD72" w14:textId="77777777" w:rsidR="003003FC" w:rsidRPr="00226288" w:rsidRDefault="003003FC" w:rsidP="003003FC">
      <w:pPr>
        <w:jc w:val="both"/>
        <w:rPr>
          <w:rFonts w:eastAsia="Times New Roman"/>
          <w:szCs w:val="24"/>
        </w:rPr>
      </w:pPr>
      <w:r>
        <w:rPr>
          <w:rFonts w:eastAsia="Times New Roman"/>
          <w:szCs w:val="24"/>
        </w:rPr>
        <w:t>By better enabling municipalities to provide the services their citizens require through cooperation in service provision, t</w:t>
      </w:r>
      <w:r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3D561B7F" w:rsidR="00226288" w:rsidRPr="00226288" w:rsidRDefault="00226288" w:rsidP="00226288">
      <w:pPr>
        <w:rPr>
          <w:rFonts w:eastAsia="Times New Roman"/>
          <w:szCs w:val="24"/>
        </w:rPr>
      </w:pPr>
      <w:r w:rsidRPr="00226288">
        <w:rPr>
          <w:rFonts w:eastAsia="Times New Roman"/>
          <w:szCs w:val="24"/>
        </w:rPr>
        <w:t xml:space="preserve">Overall, </w:t>
      </w:r>
      <w:r w:rsidR="00262CDE">
        <w:rPr>
          <w:rFonts w:eastAsia="Times New Roman"/>
          <w:szCs w:val="24"/>
        </w:rPr>
        <w:t>Entity 47</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FA845" w14:textId="77777777" w:rsidR="003E5F10" w:rsidRDefault="003E5F10" w:rsidP="00533253">
      <w:pPr>
        <w:spacing w:after="0" w:line="240" w:lineRule="auto"/>
      </w:pPr>
      <w:r>
        <w:separator/>
      </w:r>
    </w:p>
  </w:endnote>
  <w:endnote w:type="continuationSeparator" w:id="0">
    <w:p w14:paraId="741D895E" w14:textId="77777777" w:rsidR="003E5F10" w:rsidRDefault="003E5F10" w:rsidP="00533253">
      <w:pPr>
        <w:spacing w:after="0" w:line="240" w:lineRule="auto"/>
      </w:pPr>
      <w:r>
        <w:continuationSeparator/>
      </w:r>
    </w:p>
  </w:endnote>
  <w:endnote w:type="continuationNotice" w:id="1">
    <w:p w14:paraId="282C2D39" w14:textId="77777777" w:rsidR="003E5F10" w:rsidRDefault="003E5F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BB85D" w14:textId="77777777" w:rsidR="003E5F10" w:rsidRDefault="003E5F10" w:rsidP="00533253">
      <w:pPr>
        <w:spacing w:after="0" w:line="240" w:lineRule="auto"/>
      </w:pPr>
      <w:r>
        <w:separator/>
      </w:r>
    </w:p>
  </w:footnote>
  <w:footnote w:type="continuationSeparator" w:id="0">
    <w:p w14:paraId="104BAA2B" w14:textId="77777777" w:rsidR="003E5F10" w:rsidRDefault="003E5F10" w:rsidP="00533253">
      <w:pPr>
        <w:spacing w:after="0" w:line="240" w:lineRule="auto"/>
      </w:pPr>
      <w:r>
        <w:continuationSeparator/>
      </w:r>
    </w:p>
  </w:footnote>
  <w:footnote w:type="continuationNotice" w:id="1">
    <w:p w14:paraId="44B88F69" w14:textId="77777777" w:rsidR="003E5F10" w:rsidRDefault="003E5F10">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2431"/>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581E"/>
    <w:rsid w:val="000361EA"/>
    <w:rsid w:val="000366A7"/>
    <w:rsid w:val="00037D03"/>
    <w:rsid w:val="0004189C"/>
    <w:rsid w:val="00042040"/>
    <w:rsid w:val="00043761"/>
    <w:rsid w:val="000467DA"/>
    <w:rsid w:val="00047B47"/>
    <w:rsid w:val="00050419"/>
    <w:rsid w:val="00050D78"/>
    <w:rsid w:val="000521C5"/>
    <w:rsid w:val="00054665"/>
    <w:rsid w:val="0005610E"/>
    <w:rsid w:val="00056919"/>
    <w:rsid w:val="00060188"/>
    <w:rsid w:val="0006054E"/>
    <w:rsid w:val="00061B5D"/>
    <w:rsid w:val="00062C5C"/>
    <w:rsid w:val="00063797"/>
    <w:rsid w:val="00063FB6"/>
    <w:rsid w:val="000654DF"/>
    <w:rsid w:val="0006709B"/>
    <w:rsid w:val="000705CD"/>
    <w:rsid w:val="0007121F"/>
    <w:rsid w:val="000726CD"/>
    <w:rsid w:val="0007315E"/>
    <w:rsid w:val="00074531"/>
    <w:rsid w:val="00076E13"/>
    <w:rsid w:val="000778C0"/>
    <w:rsid w:val="000804BC"/>
    <w:rsid w:val="00081AC4"/>
    <w:rsid w:val="000832B3"/>
    <w:rsid w:val="0008735F"/>
    <w:rsid w:val="00091112"/>
    <w:rsid w:val="000947F5"/>
    <w:rsid w:val="0009529B"/>
    <w:rsid w:val="000A0FA4"/>
    <w:rsid w:val="000A28EE"/>
    <w:rsid w:val="000A336D"/>
    <w:rsid w:val="000A372D"/>
    <w:rsid w:val="000A4303"/>
    <w:rsid w:val="000A4742"/>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C7E7B"/>
    <w:rsid w:val="000D0004"/>
    <w:rsid w:val="000D0C37"/>
    <w:rsid w:val="000D0E5E"/>
    <w:rsid w:val="000D4B7F"/>
    <w:rsid w:val="000D539E"/>
    <w:rsid w:val="000D7B94"/>
    <w:rsid w:val="000D7F02"/>
    <w:rsid w:val="000E009D"/>
    <w:rsid w:val="000E0371"/>
    <w:rsid w:val="000E0B96"/>
    <w:rsid w:val="000F062C"/>
    <w:rsid w:val="000F56BB"/>
    <w:rsid w:val="000F56D9"/>
    <w:rsid w:val="000F5759"/>
    <w:rsid w:val="000F5A77"/>
    <w:rsid w:val="000F6376"/>
    <w:rsid w:val="000F737F"/>
    <w:rsid w:val="000F7938"/>
    <w:rsid w:val="000F7AB3"/>
    <w:rsid w:val="0010084F"/>
    <w:rsid w:val="001010F7"/>
    <w:rsid w:val="00101D9B"/>
    <w:rsid w:val="00102CB7"/>
    <w:rsid w:val="0010518B"/>
    <w:rsid w:val="0010753B"/>
    <w:rsid w:val="00110A6A"/>
    <w:rsid w:val="00111E79"/>
    <w:rsid w:val="001120C5"/>
    <w:rsid w:val="001174A0"/>
    <w:rsid w:val="001217B8"/>
    <w:rsid w:val="0012393A"/>
    <w:rsid w:val="001333B6"/>
    <w:rsid w:val="00134A12"/>
    <w:rsid w:val="00134CB1"/>
    <w:rsid w:val="0013553C"/>
    <w:rsid w:val="0013603A"/>
    <w:rsid w:val="00136F8C"/>
    <w:rsid w:val="001429F2"/>
    <w:rsid w:val="00143193"/>
    <w:rsid w:val="001434FE"/>
    <w:rsid w:val="00144572"/>
    <w:rsid w:val="00146E92"/>
    <w:rsid w:val="00147376"/>
    <w:rsid w:val="0015194D"/>
    <w:rsid w:val="00151FDA"/>
    <w:rsid w:val="00155057"/>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59D"/>
    <w:rsid w:val="00183857"/>
    <w:rsid w:val="00190B92"/>
    <w:rsid w:val="00191519"/>
    <w:rsid w:val="00194CEE"/>
    <w:rsid w:val="00195492"/>
    <w:rsid w:val="001961F9"/>
    <w:rsid w:val="001A0135"/>
    <w:rsid w:val="001A086F"/>
    <w:rsid w:val="001A093E"/>
    <w:rsid w:val="001A21A9"/>
    <w:rsid w:val="001A4616"/>
    <w:rsid w:val="001A4A6F"/>
    <w:rsid w:val="001A5EB0"/>
    <w:rsid w:val="001B01EA"/>
    <w:rsid w:val="001B0CCA"/>
    <w:rsid w:val="001B0FF6"/>
    <w:rsid w:val="001B197B"/>
    <w:rsid w:val="001B2623"/>
    <w:rsid w:val="001B479C"/>
    <w:rsid w:val="001B4F0F"/>
    <w:rsid w:val="001B4F70"/>
    <w:rsid w:val="001C04E8"/>
    <w:rsid w:val="001C2040"/>
    <w:rsid w:val="001C359A"/>
    <w:rsid w:val="001C38B6"/>
    <w:rsid w:val="001C5988"/>
    <w:rsid w:val="001D00C9"/>
    <w:rsid w:val="001D2EA1"/>
    <w:rsid w:val="001D2F8A"/>
    <w:rsid w:val="001D5074"/>
    <w:rsid w:val="001D5FFD"/>
    <w:rsid w:val="001D653E"/>
    <w:rsid w:val="001D6C80"/>
    <w:rsid w:val="001E2D26"/>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B46"/>
    <w:rsid w:val="00203CFE"/>
    <w:rsid w:val="00205CFB"/>
    <w:rsid w:val="00210E4A"/>
    <w:rsid w:val="002120AC"/>
    <w:rsid w:val="0021316D"/>
    <w:rsid w:val="00214405"/>
    <w:rsid w:val="00215178"/>
    <w:rsid w:val="00215CFD"/>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5BC1"/>
    <w:rsid w:val="00236721"/>
    <w:rsid w:val="00240283"/>
    <w:rsid w:val="0024155A"/>
    <w:rsid w:val="00242CFD"/>
    <w:rsid w:val="00246CF0"/>
    <w:rsid w:val="00247692"/>
    <w:rsid w:val="00255EFF"/>
    <w:rsid w:val="0025631E"/>
    <w:rsid w:val="0025663D"/>
    <w:rsid w:val="00262CDE"/>
    <w:rsid w:val="0026319F"/>
    <w:rsid w:val="00263EA3"/>
    <w:rsid w:val="00264825"/>
    <w:rsid w:val="00264855"/>
    <w:rsid w:val="00265C6F"/>
    <w:rsid w:val="00267321"/>
    <w:rsid w:val="00267766"/>
    <w:rsid w:val="00267D9E"/>
    <w:rsid w:val="0027002D"/>
    <w:rsid w:val="00270252"/>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3291"/>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D6602"/>
    <w:rsid w:val="002D7F65"/>
    <w:rsid w:val="002E0EF6"/>
    <w:rsid w:val="002E180D"/>
    <w:rsid w:val="002E19C3"/>
    <w:rsid w:val="002E58B1"/>
    <w:rsid w:val="002E6D98"/>
    <w:rsid w:val="002F043D"/>
    <w:rsid w:val="002F14AF"/>
    <w:rsid w:val="002F2119"/>
    <w:rsid w:val="002F4093"/>
    <w:rsid w:val="002F42D3"/>
    <w:rsid w:val="002F6043"/>
    <w:rsid w:val="002F62E8"/>
    <w:rsid w:val="002F6FA4"/>
    <w:rsid w:val="002F73F5"/>
    <w:rsid w:val="003002B5"/>
    <w:rsid w:val="00300314"/>
    <w:rsid w:val="003003FC"/>
    <w:rsid w:val="003011C3"/>
    <w:rsid w:val="003016AD"/>
    <w:rsid w:val="003024AA"/>
    <w:rsid w:val="0030415E"/>
    <w:rsid w:val="003055AC"/>
    <w:rsid w:val="00306270"/>
    <w:rsid w:val="00307880"/>
    <w:rsid w:val="00310128"/>
    <w:rsid w:val="00312A25"/>
    <w:rsid w:val="00313389"/>
    <w:rsid w:val="003152BF"/>
    <w:rsid w:val="003157B4"/>
    <w:rsid w:val="00315B1E"/>
    <w:rsid w:val="0031663B"/>
    <w:rsid w:val="00317DEF"/>
    <w:rsid w:val="00320964"/>
    <w:rsid w:val="003219CB"/>
    <w:rsid w:val="0032204E"/>
    <w:rsid w:val="0032259E"/>
    <w:rsid w:val="0032547E"/>
    <w:rsid w:val="00326643"/>
    <w:rsid w:val="00326D5B"/>
    <w:rsid w:val="00331342"/>
    <w:rsid w:val="00333276"/>
    <w:rsid w:val="003343CD"/>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1F02"/>
    <w:rsid w:val="003622AC"/>
    <w:rsid w:val="00365444"/>
    <w:rsid w:val="00365826"/>
    <w:rsid w:val="00365E92"/>
    <w:rsid w:val="00367100"/>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B5EEE"/>
    <w:rsid w:val="003C2229"/>
    <w:rsid w:val="003C2DA4"/>
    <w:rsid w:val="003C3DFA"/>
    <w:rsid w:val="003C47BF"/>
    <w:rsid w:val="003C5853"/>
    <w:rsid w:val="003D1D6C"/>
    <w:rsid w:val="003D3F4B"/>
    <w:rsid w:val="003D647D"/>
    <w:rsid w:val="003D69F7"/>
    <w:rsid w:val="003D6EB2"/>
    <w:rsid w:val="003D7071"/>
    <w:rsid w:val="003D766F"/>
    <w:rsid w:val="003D7C66"/>
    <w:rsid w:val="003E1657"/>
    <w:rsid w:val="003E31DA"/>
    <w:rsid w:val="003E381F"/>
    <w:rsid w:val="003E38DE"/>
    <w:rsid w:val="003E41B8"/>
    <w:rsid w:val="003E4987"/>
    <w:rsid w:val="003E5F10"/>
    <w:rsid w:val="003E682B"/>
    <w:rsid w:val="003F190B"/>
    <w:rsid w:val="003F2CF4"/>
    <w:rsid w:val="003F6376"/>
    <w:rsid w:val="003F78B1"/>
    <w:rsid w:val="003F7C1D"/>
    <w:rsid w:val="003F7EBB"/>
    <w:rsid w:val="0040016D"/>
    <w:rsid w:val="00400690"/>
    <w:rsid w:val="00400E1B"/>
    <w:rsid w:val="0040403F"/>
    <w:rsid w:val="004055C9"/>
    <w:rsid w:val="004057B4"/>
    <w:rsid w:val="00405AB1"/>
    <w:rsid w:val="00406AA9"/>
    <w:rsid w:val="0040747F"/>
    <w:rsid w:val="004101BE"/>
    <w:rsid w:val="0041088B"/>
    <w:rsid w:val="00410A7C"/>
    <w:rsid w:val="00413C87"/>
    <w:rsid w:val="00414F39"/>
    <w:rsid w:val="0041579F"/>
    <w:rsid w:val="00416A76"/>
    <w:rsid w:val="00416FA7"/>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0824"/>
    <w:rsid w:val="0045109F"/>
    <w:rsid w:val="0045117A"/>
    <w:rsid w:val="00452AB5"/>
    <w:rsid w:val="00454A94"/>
    <w:rsid w:val="00456C6D"/>
    <w:rsid w:val="004570D0"/>
    <w:rsid w:val="004576A5"/>
    <w:rsid w:val="00457854"/>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8371F"/>
    <w:rsid w:val="00483DC3"/>
    <w:rsid w:val="00487714"/>
    <w:rsid w:val="00492DEB"/>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1DB9"/>
    <w:rsid w:val="004E3A68"/>
    <w:rsid w:val="004E40A6"/>
    <w:rsid w:val="004E41E0"/>
    <w:rsid w:val="004E4F6D"/>
    <w:rsid w:val="004E778B"/>
    <w:rsid w:val="004E7E7A"/>
    <w:rsid w:val="004F155E"/>
    <w:rsid w:val="004F18A7"/>
    <w:rsid w:val="004F3F3A"/>
    <w:rsid w:val="004F5875"/>
    <w:rsid w:val="004F61D7"/>
    <w:rsid w:val="004F62AE"/>
    <w:rsid w:val="004F6565"/>
    <w:rsid w:val="004F6A8A"/>
    <w:rsid w:val="004F7111"/>
    <w:rsid w:val="004F7378"/>
    <w:rsid w:val="005015A8"/>
    <w:rsid w:val="00503949"/>
    <w:rsid w:val="00503E48"/>
    <w:rsid w:val="00504D5B"/>
    <w:rsid w:val="005059B1"/>
    <w:rsid w:val="00507806"/>
    <w:rsid w:val="00510189"/>
    <w:rsid w:val="005136A7"/>
    <w:rsid w:val="00516E34"/>
    <w:rsid w:val="005219AD"/>
    <w:rsid w:val="00521FC4"/>
    <w:rsid w:val="00523200"/>
    <w:rsid w:val="005238F9"/>
    <w:rsid w:val="00523BD5"/>
    <w:rsid w:val="00523E66"/>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46B3A"/>
    <w:rsid w:val="0055074D"/>
    <w:rsid w:val="00552762"/>
    <w:rsid w:val="00552C7D"/>
    <w:rsid w:val="00553C6E"/>
    <w:rsid w:val="0055643F"/>
    <w:rsid w:val="00557F80"/>
    <w:rsid w:val="00560445"/>
    <w:rsid w:val="005615ED"/>
    <w:rsid w:val="0056214B"/>
    <w:rsid w:val="0056335E"/>
    <w:rsid w:val="00563B0B"/>
    <w:rsid w:val="00564E02"/>
    <w:rsid w:val="00566246"/>
    <w:rsid w:val="00567A28"/>
    <w:rsid w:val="00570A81"/>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959D4"/>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0F45"/>
    <w:rsid w:val="005C104F"/>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4084"/>
    <w:rsid w:val="0061521B"/>
    <w:rsid w:val="0061632A"/>
    <w:rsid w:val="006179D2"/>
    <w:rsid w:val="006233C2"/>
    <w:rsid w:val="00623F93"/>
    <w:rsid w:val="00624FDC"/>
    <w:rsid w:val="00625171"/>
    <w:rsid w:val="00625C6E"/>
    <w:rsid w:val="00626347"/>
    <w:rsid w:val="006303E7"/>
    <w:rsid w:val="00631D13"/>
    <w:rsid w:val="00635CB1"/>
    <w:rsid w:val="00637CA8"/>
    <w:rsid w:val="006406FC"/>
    <w:rsid w:val="00641FCF"/>
    <w:rsid w:val="006437C2"/>
    <w:rsid w:val="0064551D"/>
    <w:rsid w:val="00647E20"/>
    <w:rsid w:val="0065160E"/>
    <w:rsid w:val="00652643"/>
    <w:rsid w:val="006551B6"/>
    <w:rsid w:val="00657EBA"/>
    <w:rsid w:val="00661053"/>
    <w:rsid w:val="006618B9"/>
    <w:rsid w:val="00661929"/>
    <w:rsid w:val="006625FE"/>
    <w:rsid w:val="006635AB"/>
    <w:rsid w:val="00663713"/>
    <w:rsid w:val="006666D0"/>
    <w:rsid w:val="0066698C"/>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4EF2"/>
    <w:rsid w:val="006A611D"/>
    <w:rsid w:val="006A73FD"/>
    <w:rsid w:val="006A7C07"/>
    <w:rsid w:val="006B1AA3"/>
    <w:rsid w:val="006B1ED5"/>
    <w:rsid w:val="006B25D4"/>
    <w:rsid w:val="006C050D"/>
    <w:rsid w:val="006C5C01"/>
    <w:rsid w:val="006C6ECF"/>
    <w:rsid w:val="006C6FD9"/>
    <w:rsid w:val="006C719D"/>
    <w:rsid w:val="006C7607"/>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045F"/>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42259"/>
    <w:rsid w:val="007540B3"/>
    <w:rsid w:val="0075617E"/>
    <w:rsid w:val="00756739"/>
    <w:rsid w:val="00757DE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778C9"/>
    <w:rsid w:val="00780EC1"/>
    <w:rsid w:val="007830AE"/>
    <w:rsid w:val="00784B4D"/>
    <w:rsid w:val="00785762"/>
    <w:rsid w:val="007864C8"/>
    <w:rsid w:val="007870B9"/>
    <w:rsid w:val="00787268"/>
    <w:rsid w:val="0079085C"/>
    <w:rsid w:val="00790F0F"/>
    <w:rsid w:val="00792463"/>
    <w:rsid w:val="00792472"/>
    <w:rsid w:val="007927BA"/>
    <w:rsid w:val="00792F8D"/>
    <w:rsid w:val="00794AB4"/>
    <w:rsid w:val="00795A3D"/>
    <w:rsid w:val="007A020D"/>
    <w:rsid w:val="007A6BD4"/>
    <w:rsid w:val="007B253A"/>
    <w:rsid w:val="007B296F"/>
    <w:rsid w:val="007B3B1E"/>
    <w:rsid w:val="007B64AB"/>
    <w:rsid w:val="007C0872"/>
    <w:rsid w:val="007C1871"/>
    <w:rsid w:val="007C1C58"/>
    <w:rsid w:val="007C3850"/>
    <w:rsid w:val="007C3C5E"/>
    <w:rsid w:val="007C3DD7"/>
    <w:rsid w:val="007C3F3B"/>
    <w:rsid w:val="007C404F"/>
    <w:rsid w:val="007C4CE7"/>
    <w:rsid w:val="007C79CD"/>
    <w:rsid w:val="007D145D"/>
    <w:rsid w:val="007D1D12"/>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4635C"/>
    <w:rsid w:val="00847C86"/>
    <w:rsid w:val="008508C3"/>
    <w:rsid w:val="00852005"/>
    <w:rsid w:val="0085387B"/>
    <w:rsid w:val="00853E3A"/>
    <w:rsid w:val="00854C63"/>
    <w:rsid w:val="00855D67"/>
    <w:rsid w:val="0086227A"/>
    <w:rsid w:val="00862A5B"/>
    <w:rsid w:val="00864654"/>
    <w:rsid w:val="00866A57"/>
    <w:rsid w:val="00871BA6"/>
    <w:rsid w:val="00872051"/>
    <w:rsid w:val="00874E94"/>
    <w:rsid w:val="00876569"/>
    <w:rsid w:val="00877A83"/>
    <w:rsid w:val="008806C2"/>
    <w:rsid w:val="00880DC2"/>
    <w:rsid w:val="00881CAD"/>
    <w:rsid w:val="0088243B"/>
    <w:rsid w:val="0088562A"/>
    <w:rsid w:val="00886CC5"/>
    <w:rsid w:val="00890F6D"/>
    <w:rsid w:val="00892334"/>
    <w:rsid w:val="008950D5"/>
    <w:rsid w:val="0089636A"/>
    <w:rsid w:val="008963E5"/>
    <w:rsid w:val="00897B6E"/>
    <w:rsid w:val="008A1BD8"/>
    <w:rsid w:val="008A1EA6"/>
    <w:rsid w:val="008A3666"/>
    <w:rsid w:val="008A3772"/>
    <w:rsid w:val="008A7796"/>
    <w:rsid w:val="008B13CF"/>
    <w:rsid w:val="008B286B"/>
    <w:rsid w:val="008B28CE"/>
    <w:rsid w:val="008B3407"/>
    <w:rsid w:val="008B3CB3"/>
    <w:rsid w:val="008B7C9E"/>
    <w:rsid w:val="008C082C"/>
    <w:rsid w:val="008C0AE3"/>
    <w:rsid w:val="008C1BBA"/>
    <w:rsid w:val="008C5776"/>
    <w:rsid w:val="008C5E9C"/>
    <w:rsid w:val="008C669D"/>
    <w:rsid w:val="008C7BA9"/>
    <w:rsid w:val="008D280E"/>
    <w:rsid w:val="008D3F93"/>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176B1"/>
    <w:rsid w:val="0092049E"/>
    <w:rsid w:val="00923496"/>
    <w:rsid w:val="009256B7"/>
    <w:rsid w:val="00930141"/>
    <w:rsid w:val="00930CE8"/>
    <w:rsid w:val="00933BDF"/>
    <w:rsid w:val="009347A7"/>
    <w:rsid w:val="00937062"/>
    <w:rsid w:val="0094032D"/>
    <w:rsid w:val="009407F0"/>
    <w:rsid w:val="009420BB"/>
    <w:rsid w:val="009424CD"/>
    <w:rsid w:val="00943184"/>
    <w:rsid w:val="00944409"/>
    <w:rsid w:val="00946D10"/>
    <w:rsid w:val="009479EB"/>
    <w:rsid w:val="0095089B"/>
    <w:rsid w:val="00951EA9"/>
    <w:rsid w:val="00952609"/>
    <w:rsid w:val="009534A1"/>
    <w:rsid w:val="009555B0"/>
    <w:rsid w:val="00957D47"/>
    <w:rsid w:val="0096164D"/>
    <w:rsid w:val="00962B5C"/>
    <w:rsid w:val="0096354C"/>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B6D71"/>
    <w:rsid w:val="009B7460"/>
    <w:rsid w:val="009C136B"/>
    <w:rsid w:val="009C2886"/>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9F6BCC"/>
    <w:rsid w:val="00A00C83"/>
    <w:rsid w:val="00A011B1"/>
    <w:rsid w:val="00A02162"/>
    <w:rsid w:val="00A02383"/>
    <w:rsid w:val="00A02439"/>
    <w:rsid w:val="00A02599"/>
    <w:rsid w:val="00A03051"/>
    <w:rsid w:val="00A04221"/>
    <w:rsid w:val="00A06864"/>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4845"/>
    <w:rsid w:val="00A45579"/>
    <w:rsid w:val="00A47131"/>
    <w:rsid w:val="00A47308"/>
    <w:rsid w:val="00A47EA2"/>
    <w:rsid w:val="00A526EA"/>
    <w:rsid w:val="00A53502"/>
    <w:rsid w:val="00A5491E"/>
    <w:rsid w:val="00A55B1B"/>
    <w:rsid w:val="00A573A7"/>
    <w:rsid w:val="00A60845"/>
    <w:rsid w:val="00A622F8"/>
    <w:rsid w:val="00A62FFB"/>
    <w:rsid w:val="00A65366"/>
    <w:rsid w:val="00A656D7"/>
    <w:rsid w:val="00A66501"/>
    <w:rsid w:val="00A66519"/>
    <w:rsid w:val="00A66BDA"/>
    <w:rsid w:val="00A70CCF"/>
    <w:rsid w:val="00A731DA"/>
    <w:rsid w:val="00A735C8"/>
    <w:rsid w:val="00A735FE"/>
    <w:rsid w:val="00A741DC"/>
    <w:rsid w:val="00A76236"/>
    <w:rsid w:val="00A76976"/>
    <w:rsid w:val="00A76BD9"/>
    <w:rsid w:val="00A76F0F"/>
    <w:rsid w:val="00A81ACF"/>
    <w:rsid w:val="00A8263D"/>
    <w:rsid w:val="00A82BDE"/>
    <w:rsid w:val="00A835ED"/>
    <w:rsid w:val="00A83E2A"/>
    <w:rsid w:val="00A8461E"/>
    <w:rsid w:val="00A90CFD"/>
    <w:rsid w:val="00A910B8"/>
    <w:rsid w:val="00A921C7"/>
    <w:rsid w:val="00A92519"/>
    <w:rsid w:val="00A93031"/>
    <w:rsid w:val="00AA1DDD"/>
    <w:rsid w:val="00AA2F30"/>
    <w:rsid w:val="00AA5A47"/>
    <w:rsid w:val="00AA710E"/>
    <w:rsid w:val="00AB0E52"/>
    <w:rsid w:val="00AB3720"/>
    <w:rsid w:val="00AB4DC2"/>
    <w:rsid w:val="00AB56BE"/>
    <w:rsid w:val="00AB5C50"/>
    <w:rsid w:val="00AB64B7"/>
    <w:rsid w:val="00AB6D66"/>
    <w:rsid w:val="00AC0F46"/>
    <w:rsid w:val="00AC2526"/>
    <w:rsid w:val="00AC2A14"/>
    <w:rsid w:val="00AC2DC3"/>
    <w:rsid w:val="00AC341A"/>
    <w:rsid w:val="00AC5DB2"/>
    <w:rsid w:val="00AC5E81"/>
    <w:rsid w:val="00AC6306"/>
    <w:rsid w:val="00AC6B10"/>
    <w:rsid w:val="00AD1552"/>
    <w:rsid w:val="00AD1570"/>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AF675A"/>
    <w:rsid w:val="00B0029A"/>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530"/>
    <w:rsid w:val="00B27F26"/>
    <w:rsid w:val="00B30E70"/>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4832"/>
    <w:rsid w:val="00B552D4"/>
    <w:rsid w:val="00B57FE0"/>
    <w:rsid w:val="00B6140F"/>
    <w:rsid w:val="00B61A5B"/>
    <w:rsid w:val="00B6278E"/>
    <w:rsid w:val="00B65F24"/>
    <w:rsid w:val="00B66816"/>
    <w:rsid w:val="00B671A5"/>
    <w:rsid w:val="00B72F6F"/>
    <w:rsid w:val="00B755F1"/>
    <w:rsid w:val="00B778ED"/>
    <w:rsid w:val="00B82E97"/>
    <w:rsid w:val="00B83432"/>
    <w:rsid w:val="00B84A24"/>
    <w:rsid w:val="00B86345"/>
    <w:rsid w:val="00B8661E"/>
    <w:rsid w:val="00B87C75"/>
    <w:rsid w:val="00B9087E"/>
    <w:rsid w:val="00B908A9"/>
    <w:rsid w:val="00B94F9A"/>
    <w:rsid w:val="00B95616"/>
    <w:rsid w:val="00B95EFA"/>
    <w:rsid w:val="00BA10DF"/>
    <w:rsid w:val="00BA1272"/>
    <w:rsid w:val="00BA185C"/>
    <w:rsid w:val="00BA1E56"/>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ED4"/>
    <w:rsid w:val="00BE1438"/>
    <w:rsid w:val="00BE3A68"/>
    <w:rsid w:val="00BE3C41"/>
    <w:rsid w:val="00BE403F"/>
    <w:rsid w:val="00BE42B4"/>
    <w:rsid w:val="00BE43FB"/>
    <w:rsid w:val="00BE487B"/>
    <w:rsid w:val="00BE4F8D"/>
    <w:rsid w:val="00BE604A"/>
    <w:rsid w:val="00BE6885"/>
    <w:rsid w:val="00BF055E"/>
    <w:rsid w:val="00BF1884"/>
    <w:rsid w:val="00BF687D"/>
    <w:rsid w:val="00BF7E3F"/>
    <w:rsid w:val="00C01DE1"/>
    <w:rsid w:val="00C01F24"/>
    <w:rsid w:val="00C06DB3"/>
    <w:rsid w:val="00C0741B"/>
    <w:rsid w:val="00C11068"/>
    <w:rsid w:val="00C12870"/>
    <w:rsid w:val="00C132BD"/>
    <w:rsid w:val="00C13784"/>
    <w:rsid w:val="00C1414C"/>
    <w:rsid w:val="00C16AFC"/>
    <w:rsid w:val="00C17C4A"/>
    <w:rsid w:val="00C23179"/>
    <w:rsid w:val="00C23508"/>
    <w:rsid w:val="00C24EAB"/>
    <w:rsid w:val="00C27C8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BB4"/>
    <w:rsid w:val="00C81C1B"/>
    <w:rsid w:val="00C83C0F"/>
    <w:rsid w:val="00C847DE"/>
    <w:rsid w:val="00C85643"/>
    <w:rsid w:val="00C8586B"/>
    <w:rsid w:val="00C87391"/>
    <w:rsid w:val="00C87CA0"/>
    <w:rsid w:val="00C87E27"/>
    <w:rsid w:val="00C923EB"/>
    <w:rsid w:val="00C924D6"/>
    <w:rsid w:val="00C942CD"/>
    <w:rsid w:val="00C947AC"/>
    <w:rsid w:val="00C96D29"/>
    <w:rsid w:val="00C97D20"/>
    <w:rsid w:val="00CA333E"/>
    <w:rsid w:val="00CA3C0E"/>
    <w:rsid w:val="00CA5586"/>
    <w:rsid w:val="00CA7412"/>
    <w:rsid w:val="00CA77DD"/>
    <w:rsid w:val="00CB0BF5"/>
    <w:rsid w:val="00CB2BDF"/>
    <w:rsid w:val="00CB2DAD"/>
    <w:rsid w:val="00CB38DB"/>
    <w:rsid w:val="00CB3BC1"/>
    <w:rsid w:val="00CB62EA"/>
    <w:rsid w:val="00CC0635"/>
    <w:rsid w:val="00CC1239"/>
    <w:rsid w:val="00CC1C41"/>
    <w:rsid w:val="00CC250F"/>
    <w:rsid w:val="00CC3095"/>
    <w:rsid w:val="00CC30B9"/>
    <w:rsid w:val="00CC3C7C"/>
    <w:rsid w:val="00CC4CA8"/>
    <w:rsid w:val="00CC77B3"/>
    <w:rsid w:val="00CD005E"/>
    <w:rsid w:val="00CD0C24"/>
    <w:rsid w:val="00CD12CE"/>
    <w:rsid w:val="00CD12F5"/>
    <w:rsid w:val="00CD14B9"/>
    <w:rsid w:val="00CD1B70"/>
    <w:rsid w:val="00CD24B4"/>
    <w:rsid w:val="00CD2CBF"/>
    <w:rsid w:val="00CD4433"/>
    <w:rsid w:val="00CD569B"/>
    <w:rsid w:val="00CD7718"/>
    <w:rsid w:val="00CD7AC1"/>
    <w:rsid w:val="00CE2BC0"/>
    <w:rsid w:val="00CE2F66"/>
    <w:rsid w:val="00CE4B07"/>
    <w:rsid w:val="00CE7A05"/>
    <w:rsid w:val="00CF02AF"/>
    <w:rsid w:val="00CF1BF9"/>
    <w:rsid w:val="00CF1C7B"/>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26A9"/>
    <w:rsid w:val="00D3691A"/>
    <w:rsid w:val="00D37D79"/>
    <w:rsid w:val="00D4044D"/>
    <w:rsid w:val="00D41B44"/>
    <w:rsid w:val="00D4535C"/>
    <w:rsid w:val="00D455D2"/>
    <w:rsid w:val="00D459CC"/>
    <w:rsid w:val="00D45B8F"/>
    <w:rsid w:val="00D5037A"/>
    <w:rsid w:val="00D503EA"/>
    <w:rsid w:val="00D515A4"/>
    <w:rsid w:val="00D51BF0"/>
    <w:rsid w:val="00D521C2"/>
    <w:rsid w:val="00D52E91"/>
    <w:rsid w:val="00D55202"/>
    <w:rsid w:val="00D5651B"/>
    <w:rsid w:val="00D56B22"/>
    <w:rsid w:val="00D62F71"/>
    <w:rsid w:val="00D63234"/>
    <w:rsid w:val="00D64A76"/>
    <w:rsid w:val="00D650C3"/>
    <w:rsid w:val="00D66F81"/>
    <w:rsid w:val="00D72C94"/>
    <w:rsid w:val="00D72EE0"/>
    <w:rsid w:val="00D743BF"/>
    <w:rsid w:val="00D746A4"/>
    <w:rsid w:val="00D74936"/>
    <w:rsid w:val="00D76F1D"/>
    <w:rsid w:val="00D77543"/>
    <w:rsid w:val="00D804CC"/>
    <w:rsid w:val="00D84B0D"/>
    <w:rsid w:val="00D8524F"/>
    <w:rsid w:val="00D85D59"/>
    <w:rsid w:val="00D87F73"/>
    <w:rsid w:val="00D931B6"/>
    <w:rsid w:val="00D93B90"/>
    <w:rsid w:val="00D94D4B"/>
    <w:rsid w:val="00D94DCD"/>
    <w:rsid w:val="00D958C3"/>
    <w:rsid w:val="00D965E7"/>
    <w:rsid w:val="00DA27A1"/>
    <w:rsid w:val="00DA2C5A"/>
    <w:rsid w:val="00DA373E"/>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2F8"/>
    <w:rsid w:val="00DF39F7"/>
    <w:rsid w:val="00DF61B0"/>
    <w:rsid w:val="00DF62C0"/>
    <w:rsid w:val="00DF6C0E"/>
    <w:rsid w:val="00DF6D98"/>
    <w:rsid w:val="00DF78DE"/>
    <w:rsid w:val="00E00321"/>
    <w:rsid w:val="00E01B89"/>
    <w:rsid w:val="00E0218D"/>
    <w:rsid w:val="00E02E16"/>
    <w:rsid w:val="00E03255"/>
    <w:rsid w:val="00E0425A"/>
    <w:rsid w:val="00E07470"/>
    <w:rsid w:val="00E07A34"/>
    <w:rsid w:val="00E07EED"/>
    <w:rsid w:val="00E1004A"/>
    <w:rsid w:val="00E112D9"/>
    <w:rsid w:val="00E12385"/>
    <w:rsid w:val="00E16335"/>
    <w:rsid w:val="00E163CC"/>
    <w:rsid w:val="00E16E9D"/>
    <w:rsid w:val="00E236EA"/>
    <w:rsid w:val="00E307E8"/>
    <w:rsid w:val="00E308F4"/>
    <w:rsid w:val="00E30DC8"/>
    <w:rsid w:val="00E316AF"/>
    <w:rsid w:val="00E319DE"/>
    <w:rsid w:val="00E33A22"/>
    <w:rsid w:val="00E351D9"/>
    <w:rsid w:val="00E41114"/>
    <w:rsid w:val="00E41968"/>
    <w:rsid w:val="00E449DD"/>
    <w:rsid w:val="00E44DC0"/>
    <w:rsid w:val="00E4534D"/>
    <w:rsid w:val="00E45809"/>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984"/>
    <w:rsid w:val="00E65FEB"/>
    <w:rsid w:val="00E666AB"/>
    <w:rsid w:val="00E66DA0"/>
    <w:rsid w:val="00E70D34"/>
    <w:rsid w:val="00E71969"/>
    <w:rsid w:val="00E71EDE"/>
    <w:rsid w:val="00E736B0"/>
    <w:rsid w:val="00E73700"/>
    <w:rsid w:val="00E74444"/>
    <w:rsid w:val="00E76A76"/>
    <w:rsid w:val="00E81435"/>
    <w:rsid w:val="00E8279A"/>
    <w:rsid w:val="00E82F08"/>
    <w:rsid w:val="00E83607"/>
    <w:rsid w:val="00E86C0E"/>
    <w:rsid w:val="00E90562"/>
    <w:rsid w:val="00E9137E"/>
    <w:rsid w:val="00E91A48"/>
    <w:rsid w:val="00E92CAD"/>
    <w:rsid w:val="00E9381F"/>
    <w:rsid w:val="00E95127"/>
    <w:rsid w:val="00E979A4"/>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1820"/>
    <w:rsid w:val="00EC2389"/>
    <w:rsid w:val="00EC2AAB"/>
    <w:rsid w:val="00EC452B"/>
    <w:rsid w:val="00EC71A3"/>
    <w:rsid w:val="00ED38BA"/>
    <w:rsid w:val="00ED40AD"/>
    <w:rsid w:val="00ED6C16"/>
    <w:rsid w:val="00ED6F3F"/>
    <w:rsid w:val="00ED702F"/>
    <w:rsid w:val="00EE1061"/>
    <w:rsid w:val="00EE27EB"/>
    <w:rsid w:val="00EE766E"/>
    <w:rsid w:val="00EE797B"/>
    <w:rsid w:val="00EF051C"/>
    <w:rsid w:val="00EF1EDE"/>
    <w:rsid w:val="00F0075E"/>
    <w:rsid w:val="00F01C98"/>
    <w:rsid w:val="00F04726"/>
    <w:rsid w:val="00F06AB7"/>
    <w:rsid w:val="00F06AB9"/>
    <w:rsid w:val="00F0787F"/>
    <w:rsid w:val="00F11EA0"/>
    <w:rsid w:val="00F133CF"/>
    <w:rsid w:val="00F143DB"/>
    <w:rsid w:val="00F149C2"/>
    <w:rsid w:val="00F14B01"/>
    <w:rsid w:val="00F16A38"/>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3B1"/>
    <w:rsid w:val="00F918EE"/>
    <w:rsid w:val="00F91D75"/>
    <w:rsid w:val="00F94808"/>
    <w:rsid w:val="00FA21A7"/>
    <w:rsid w:val="00FA2A26"/>
    <w:rsid w:val="00FA4291"/>
    <w:rsid w:val="00FA4ADF"/>
    <w:rsid w:val="00FA56A5"/>
    <w:rsid w:val="00FB21B4"/>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E0207"/>
    <w:rsid w:val="00FE344B"/>
    <w:rsid w:val="00FE4890"/>
    <w:rsid w:val="00FE58A1"/>
    <w:rsid w:val="00FE6560"/>
    <w:rsid w:val="00FE7ED2"/>
    <w:rsid w:val="00FF076A"/>
    <w:rsid w:val="00FF0BDE"/>
    <w:rsid w:val="00FF1A17"/>
    <w:rsid w:val="00FF1FAD"/>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572591742">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782457603">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1011529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06409983">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358047561">
      <w:bodyDiv w:val="1"/>
      <w:marLeft w:val="0"/>
      <w:marRight w:val="0"/>
      <w:marTop w:val="0"/>
      <w:marBottom w:val="0"/>
      <w:divBdr>
        <w:top w:val="none" w:sz="0" w:space="0" w:color="auto"/>
        <w:left w:val="none" w:sz="0" w:space="0" w:color="auto"/>
        <w:bottom w:val="none" w:sz="0" w:space="0" w:color="auto"/>
        <w:right w:val="none" w:sz="0" w:space="0" w:color="auto"/>
      </w:divBdr>
    </w:div>
    <w:div w:id="1369181220">
      <w:bodyDiv w:val="1"/>
      <w:marLeft w:val="0"/>
      <w:marRight w:val="0"/>
      <w:marTop w:val="0"/>
      <w:marBottom w:val="0"/>
      <w:divBdr>
        <w:top w:val="none" w:sz="0" w:space="0" w:color="auto"/>
        <w:left w:val="none" w:sz="0" w:space="0" w:color="auto"/>
        <w:bottom w:val="none" w:sz="0" w:space="0" w:color="auto"/>
        <w:right w:val="none" w:sz="0" w:space="0" w:color="auto"/>
      </w:divBdr>
    </w:div>
    <w:div w:id="1377505658">
      <w:bodyDiv w:val="1"/>
      <w:marLeft w:val="0"/>
      <w:marRight w:val="0"/>
      <w:marTop w:val="0"/>
      <w:marBottom w:val="0"/>
      <w:divBdr>
        <w:top w:val="none" w:sz="0" w:space="0" w:color="auto"/>
        <w:left w:val="none" w:sz="0" w:space="0" w:color="auto"/>
        <w:bottom w:val="none" w:sz="0" w:space="0" w:color="auto"/>
        <w:right w:val="none" w:sz="0" w:space="0" w:color="auto"/>
      </w:divBdr>
    </w:div>
    <w:div w:id="1394548244">
      <w:bodyDiv w:val="1"/>
      <w:marLeft w:val="0"/>
      <w:marRight w:val="0"/>
      <w:marTop w:val="0"/>
      <w:marBottom w:val="0"/>
      <w:divBdr>
        <w:top w:val="none" w:sz="0" w:space="0" w:color="auto"/>
        <w:left w:val="none" w:sz="0" w:space="0" w:color="auto"/>
        <w:bottom w:val="none" w:sz="0" w:space="0" w:color="auto"/>
        <w:right w:val="none" w:sz="0" w:space="0" w:color="auto"/>
      </w:divBdr>
    </w:div>
    <w:div w:id="1426029605">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6816371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679694006">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1970091770">
      <w:bodyDiv w:val="1"/>
      <w:marLeft w:val="0"/>
      <w:marRight w:val="0"/>
      <w:marTop w:val="0"/>
      <w:marBottom w:val="0"/>
      <w:divBdr>
        <w:top w:val="none" w:sz="0" w:space="0" w:color="auto"/>
        <w:left w:val="none" w:sz="0" w:space="0" w:color="auto"/>
        <w:bottom w:val="none" w:sz="0" w:space="0" w:color="auto"/>
        <w:right w:val="none" w:sz="0" w:space="0" w:color="auto"/>
      </w:divBdr>
    </w:div>
    <w:div w:id="1991909540">
      <w:bodyDiv w:val="1"/>
      <w:marLeft w:val="0"/>
      <w:marRight w:val="0"/>
      <w:marTop w:val="0"/>
      <w:marBottom w:val="0"/>
      <w:divBdr>
        <w:top w:val="none" w:sz="0" w:space="0" w:color="auto"/>
        <w:left w:val="none" w:sz="0" w:space="0" w:color="auto"/>
        <w:bottom w:val="none" w:sz="0" w:space="0" w:color="auto"/>
        <w:right w:val="none" w:sz="0" w:space="0" w:color="auto"/>
      </w:divBdr>
    </w:div>
    <w:div w:id="1996252879">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9E2C8-1A4E-487B-9E4C-99EBCE556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42</cp:revision>
  <dcterms:created xsi:type="dcterms:W3CDTF">2020-05-20T16:17:00Z</dcterms:created>
  <dcterms:modified xsi:type="dcterms:W3CDTF">2020-05-29T19:05:00Z</dcterms:modified>
</cp:coreProperties>
</file>