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3C8EC1FE" w:rsidR="00226288" w:rsidRPr="00226288" w:rsidRDefault="00226288" w:rsidP="0046154B">
      <w:pPr>
        <w:spacing w:line="480" w:lineRule="auto"/>
        <w:contextualSpacing/>
      </w:pPr>
      <w:r w:rsidRPr="00226288">
        <w:t xml:space="preserve">An </w:t>
      </w:r>
      <w:r w:rsidR="00081AC4">
        <w:t>Image</w:t>
      </w:r>
      <w:r w:rsidRPr="00226288">
        <w:t xml:space="preserve"> of the Future – </w:t>
      </w:r>
      <w:r w:rsidR="00212DD0">
        <w:t>Entity 49</w:t>
      </w:r>
      <w:r w:rsidRPr="00226288">
        <w:t xml:space="preserve"> and </w:t>
      </w:r>
      <w:r w:rsidR="00262CDE">
        <w:t>Regional Service District 11</w:t>
      </w:r>
    </w:p>
    <w:p w14:paraId="70CB123F" w14:textId="18C9D195" w:rsidR="00226288" w:rsidRPr="00226288" w:rsidRDefault="00B414A4" w:rsidP="00400E1B">
      <w:pPr>
        <w:jc w:val="both"/>
        <w:rPr>
          <w:rFonts w:eastAsia="Times New Roman"/>
        </w:rPr>
      </w:pPr>
      <w:r>
        <w:rPr>
          <w:noProof/>
          <w:szCs w:val="24"/>
        </w:rPr>
        <w:drawing>
          <wp:anchor distT="0" distB="0" distL="114300" distR="114300" simplePos="0" relativeHeight="251657216" behindDoc="0" locked="0" layoutInCell="1" allowOverlap="1" wp14:anchorId="4E73665D" wp14:editId="0E5032B9">
            <wp:simplePos x="0" y="0"/>
            <wp:positionH relativeFrom="column">
              <wp:posOffset>2968381</wp:posOffset>
            </wp:positionH>
            <wp:positionV relativeFrom="paragraph">
              <wp:posOffset>1120140</wp:posOffset>
            </wp:positionV>
            <wp:extent cx="2974975" cy="3311525"/>
            <wp:effectExtent l="0" t="0" r="0" b="3175"/>
            <wp:wrapThrough wrapText="bothSides">
              <wp:wrapPolygon edited="0">
                <wp:start x="277" y="0"/>
                <wp:lineTo x="0" y="373"/>
                <wp:lineTo x="0" y="20627"/>
                <wp:lineTo x="138" y="21372"/>
                <wp:lineTo x="277" y="21496"/>
                <wp:lineTo x="21162" y="21496"/>
                <wp:lineTo x="21300" y="21372"/>
                <wp:lineTo x="21439" y="20627"/>
                <wp:lineTo x="21439" y="373"/>
                <wp:lineTo x="21162" y="0"/>
                <wp:lineTo x="27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010" t="12370" r="37574" b="29778"/>
                    <a:stretch/>
                  </pic:blipFill>
                  <pic:spPr bwMode="auto">
                    <a:xfrm>
                      <a:off x="0" y="0"/>
                      <a:ext cx="2974975" cy="331152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212DD0">
        <w:rPr>
          <w:rFonts w:eastAsia="Times New Roman"/>
        </w:rPr>
        <w:t>Entity 49</w:t>
      </w:r>
      <w:r w:rsidR="006736F1">
        <w:rPr>
          <w:rFonts w:eastAsia="Times New Roman"/>
        </w:rPr>
        <w:t>.</w:t>
      </w:r>
      <w:r w:rsidR="00226288" w:rsidRPr="00226288">
        <w:rPr>
          <w:rFonts w:eastAsia="Times New Roman"/>
        </w:rPr>
        <w:t xml:space="preserve"> For the duration of this discussion the municipality shall be referred to as </w:t>
      </w:r>
      <w:r w:rsidR="00212DD0">
        <w:rPr>
          <w:rFonts w:eastAsia="Times New Roman"/>
        </w:rPr>
        <w:t>Entity 49</w:t>
      </w:r>
      <w:r w:rsidR="00226288" w:rsidRPr="00226288">
        <w:rPr>
          <w:rFonts w:eastAsia="Times New Roman"/>
        </w:rPr>
        <w:t xml:space="preserve">, as while the municipality could conceivably adopt </w:t>
      </w:r>
      <w:r w:rsidR="00DC6D5B">
        <w:rPr>
          <w:rFonts w:eastAsia="Times New Roman"/>
        </w:rPr>
        <w:t xml:space="preserve">the </w:t>
      </w:r>
      <w:r w:rsidR="00F16A38">
        <w:rPr>
          <w:rFonts w:eastAsia="Times New Roman"/>
        </w:rPr>
        <w:t xml:space="preserve">name </w:t>
      </w:r>
      <w:r w:rsidR="006A5358">
        <w:rPr>
          <w:rFonts w:eastAsia="Times New Roman"/>
        </w:rPr>
        <w:t>Fredericton or York</w:t>
      </w:r>
      <w:r w:rsidR="00C847DE">
        <w:rPr>
          <w:rFonts w:eastAsia="Times New Roman"/>
        </w:rPr>
        <w:t xml:space="preserve">, </w:t>
      </w:r>
      <w:r w:rsidR="00226288" w:rsidRPr="00226288">
        <w:rPr>
          <w:rFonts w:eastAsia="Times New Roman"/>
        </w:rPr>
        <w:t xml:space="preserve">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35C85E2A" w:rsidR="00226288" w:rsidRPr="00226288" w:rsidRDefault="00226288" w:rsidP="00226288">
      <w:pPr>
        <w:rPr>
          <w:b/>
          <w:bCs/>
        </w:rPr>
      </w:pPr>
      <w:r w:rsidRPr="00226288">
        <w:rPr>
          <w:rFonts w:eastAsia="Times New Roman"/>
          <w:b/>
          <w:bCs/>
        </w:rPr>
        <w:t>Geographic Boundaries</w:t>
      </w:r>
    </w:p>
    <w:p w14:paraId="4750B350" w14:textId="227698E3" w:rsidR="00226288" w:rsidRDefault="00212DD0" w:rsidP="0088243B">
      <w:pPr>
        <w:jc w:val="both"/>
        <w:rPr>
          <w:szCs w:val="24"/>
        </w:rPr>
      </w:pPr>
      <w:r>
        <w:rPr>
          <w:szCs w:val="24"/>
        </w:rPr>
        <w:t>Entity 49</w:t>
      </w:r>
      <w:r w:rsidR="006C7607">
        <w:rPr>
          <w:szCs w:val="24"/>
        </w:rPr>
        <w:t xml:space="preserve"> </w:t>
      </w:r>
      <w:r w:rsidR="00D02067" w:rsidRPr="003E682B">
        <w:rPr>
          <w:szCs w:val="24"/>
        </w:rPr>
        <w:t xml:space="preserve">would be comprised of </w:t>
      </w:r>
      <w:r w:rsidR="00CA333E" w:rsidRPr="003E682B">
        <w:rPr>
          <w:szCs w:val="24"/>
        </w:rPr>
        <w:t>the</w:t>
      </w:r>
      <w:r w:rsidR="00C40CAB">
        <w:rPr>
          <w:szCs w:val="24"/>
        </w:rPr>
        <w:t xml:space="preserve"> </w:t>
      </w:r>
      <w:r w:rsidR="00423C4A">
        <w:rPr>
          <w:szCs w:val="24"/>
        </w:rPr>
        <w:t xml:space="preserve">City of Fredericton, </w:t>
      </w:r>
      <w:r w:rsidR="00024638">
        <w:rPr>
          <w:szCs w:val="24"/>
        </w:rPr>
        <w:t xml:space="preserve">the </w:t>
      </w:r>
      <w:r w:rsidR="00C27C8B">
        <w:rPr>
          <w:szCs w:val="24"/>
        </w:rPr>
        <w:t>Village</w:t>
      </w:r>
      <w:r w:rsidR="00CC1239">
        <w:rPr>
          <w:szCs w:val="24"/>
        </w:rPr>
        <w:t>s</w:t>
      </w:r>
      <w:r w:rsidR="00C27C8B">
        <w:rPr>
          <w:szCs w:val="24"/>
        </w:rPr>
        <w:t xml:space="preserve"> of </w:t>
      </w:r>
      <w:r w:rsidR="00024638">
        <w:rPr>
          <w:szCs w:val="24"/>
        </w:rPr>
        <w:t>New Maryland and Harvey</w:t>
      </w:r>
      <w:r w:rsidR="000B4F4D">
        <w:rPr>
          <w:szCs w:val="24"/>
        </w:rPr>
        <w:t>,</w:t>
      </w:r>
      <w:r w:rsidR="00042FC5">
        <w:rPr>
          <w:szCs w:val="24"/>
        </w:rPr>
        <w:t xml:space="preserve"> the Rural Community of Hanwell,</w:t>
      </w:r>
      <w:r w:rsidR="00B671A5">
        <w:rPr>
          <w:szCs w:val="24"/>
        </w:rPr>
        <w:t xml:space="preserve"> and the </w:t>
      </w:r>
      <w:r w:rsidR="00024638">
        <w:rPr>
          <w:szCs w:val="24"/>
        </w:rPr>
        <w:t>Kingsclear, Estey’s Bridge, Linc</w:t>
      </w:r>
      <w:r w:rsidR="00C22F2C">
        <w:rPr>
          <w:szCs w:val="24"/>
        </w:rPr>
        <w:t>ol</w:t>
      </w:r>
      <w:r w:rsidR="00024638">
        <w:rPr>
          <w:szCs w:val="24"/>
        </w:rPr>
        <w:t xml:space="preserve">n, Noonan, </w:t>
      </w:r>
      <w:r w:rsidR="009804F3">
        <w:rPr>
          <w:szCs w:val="24"/>
        </w:rPr>
        <w:t xml:space="preserve">Evergreen Parrk, Pepper Creek, </w:t>
      </w:r>
      <w:r w:rsidR="00E25D1E">
        <w:rPr>
          <w:szCs w:val="24"/>
        </w:rPr>
        <w:t xml:space="preserve">Nevers Road, </w:t>
      </w:r>
      <w:r w:rsidR="00024638">
        <w:rPr>
          <w:szCs w:val="24"/>
        </w:rPr>
        <w:t>Saint Mary’s</w:t>
      </w:r>
      <w:r w:rsidR="00042FC5">
        <w:rPr>
          <w:szCs w:val="24"/>
        </w:rPr>
        <w:t>, and Keswick Ridge</w:t>
      </w:r>
      <w:r w:rsidR="00983F64">
        <w:rPr>
          <w:szCs w:val="24"/>
        </w:rPr>
        <w:t xml:space="preserve"> </w:t>
      </w:r>
      <w:r w:rsidR="00060188">
        <w:rPr>
          <w:szCs w:val="24"/>
        </w:rPr>
        <w:t>LSD</w:t>
      </w:r>
      <w:r w:rsidR="009555B0">
        <w:rPr>
          <w:szCs w:val="24"/>
        </w:rPr>
        <w:t>s</w:t>
      </w:r>
      <w:r w:rsidR="00E351D9">
        <w:rPr>
          <w:szCs w:val="24"/>
        </w:rPr>
        <w:t>.</w:t>
      </w:r>
      <w:r w:rsidR="00215CFD">
        <w:rPr>
          <w:szCs w:val="24"/>
        </w:rPr>
        <w:t xml:space="preserve"> </w:t>
      </w:r>
      <w:r w:rsidR="00567586">
        <w:rPr>
          <w:szCs w:val="24"/>
        </w:rPr>
        <w:t xml:space="preserve">While the </w:t>
      </w:r>
      <w:r w:rsidR="003926F9">
        <w:rPr>
          <w:szCs w:val="24"/>
        </w:rPr>
        <w:t xml:space="preserve">vast majority of the proposed entity is in York county, </w:t>
      </w:r>
      <w:r w:rsidR="000A7607">
        <w:rPr>
          <w:szCs w:val="24"/>
        </w:rPr>
        <w:t xml:space="preserve">four LSDs in Sunbury county have been included as well. </w:t>
      </w:r>
      <w:r w:rsidR="006B7CD9">
        <w:rPr>
          <w:szCs w:val="24"/>
        </w:rPr>
        <w:t>L</w:t>
      </w:r>
      <w:r w:rsidR="00E25D1E">
        <w:rPr>
          <w:szCs w:val="24"/>
        </w:rPr>
        <w:t>incoln</w:t>
      </w:r>
      <w:r w:rsidR="006B7CD9">
        <w:rPr>
          <w:szCs w:val="24"/>
        </w:rPr>
        <w:t xml:space="preserve">, </w:t>
      </w:r>
      <w:r w:rsidR="00E25D1E">
        <w:rPr>
          <w:szCs w:val="24"/>
        </w:rPr>
        <w:t>Nevers Road</w:t>
      </w:r>
      <w:r w:rsidR="006B7CD9">
        <w:rPr>
          <w:szCs w:val="24"/>
        </w:rPr>
        <w:t xml:space="preserve">, </w:t>
      </w:r>
      <w:r w:rsidR="005B3AE8">
        <w:rPr>
          <w:szCs w:val="24"/>
        </w:rPr>
        <w:t>Noonan and</w:t>
      </w:r>
      <w:r w:rsidR="006B7CD9">
        <w:rPr>
          <w:szCs w:val="24"/>
        </w:rPr>
        <w:t xml:space="preserve"> the</w:t>
      </w:r>
      <w:r w:rsidR="005B3AE8">
        <w:rPr>
          <w:szCs w:val="24"/>
        </w:rPr>
        <w:t xml:space="preserve"> portion of Maugerville LSDs </w:t>
      </w:r>
      <w:r w:rsidR="007F773E">
        <w:rPr>
          <w:szCs w:val="24"/>
        </w:rPr>
        <w:t>up to the Burton bridge</w:t>
      </w:r>
      <w:r w:rsidR="006B7CD9">
        <w:rPr>
          <w:szCs w:val="24"/>
        </w:rPr>
        <w:t xml:space="preserve"> </w:t>
      </w:r>
      <w:r w:rsidR="007F773E">
        <w:rPr>
          <w:szCs w:val="24"/>
        </w:rPr>
        <w:t xml:space="preserve">represent </w:t>
      </w:r>
      <w:r w:rsidR="00FE1C35">
        <w:rPr>
          <w:szCs w:val="24"/>
        </w:rPr>
        <w:t>populations contiguous with the Fredericton population center</w:t>
      </w:r>
      <w:r w:rsidR="000408EA">
        <w:rPr>
          <w:szCs w:val="24"/>
        </w:rPr>
        <w:t xml:space="preserve">. In this case especially, the population expansion has disregarded the </w:t>
      </w:r>
      <w:r w:rsidR="00627A0E">
        <w:rPr>
          <w:szCs w:val="24"/>
        </w:rPr>
        <w:t>anachronistic</w:t>
      </w:r>
      <w:r w:rsidR="000408EA">
        <w:rPr>
          <w:szCs w:val="24"/>
        </w:rPr>
        <w:t xml:space="preserve"> </w:t>
      </w:r>
      <w:r w:rsidR="00627A0E">
        <w:rPr>
          <w:szCs w:val="24"/>
        </w:rPr>
        <w:t xml:space="preserve">county lines and should be disregarded for the good of administrative efficacy. </w:t>
      </w:r>
      <w:r w:rsidR="00636613">
        <w:rPr>
          <w:szCs w:val="24"/>
        </w:rPr>
        <w:t xml:space="preserve">As well as the </w:t>
      </w:r>
      <w:r w:rsidR="00DD195A">
        <w:rPr>
          <w:szCs w:val="24"/>
        </w:rPr>
        <w:t xml:space="preserve">contiguous populations of the greater Fredericton area, the entity would include </w:t>
      </w:r>
      <w:r w:rsidR="00502BC9">
        <w:rPr>
          <w:szCs w:val="24"/>
        </w:rPr>
        <w:t xml:space="preserve">Crown Lands in the Saint Mary’s LSD and </w:t>
      </w:r>
      <w:r w:rsidR="00BE12D7">
        <w:rPr>
          <w:szCs w:val="24"/>
        </w:rPr>
        <w:t>the area between Harvey and Hanwell</w:t>
      </w:r>
      <w:r w:rsidR="00072995">
        <w:rPr>
          <w:szCs w:val="24"/>
        </w:rPr>
        <w:t>.</w:t>
      </w:r>
    </w:p>
    <w:p w14:paraId="7116CD82" w14:textId="668ED6BC" w:rsidR="001F5724" w:rsidRPr="00226288" w:rsidRDefault="001F5724" w:rsidP="001F5724">
      <w:pPr>
        <w:rPr>
          <w:rFonts w:eastAsia="Times New Roman"/>
          <w:b/>
          <w:bCs/>
        </w:rPr>
      </w:pPr>
      <w:r w:rsidRPr="00226288">
        <w:rPr>
          <w:rFonts w:eastAsia="Times New Roman"/>
          <w:b/>
          <w:bCs/>
        </w:rPr>
        <w:t>Demographic Base</w:t>
      </w:r>
    </w:p>
    <w:p w14:paraId="4A234E1E" w14:textId="233486BD"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6F2499">
        <w:rPr>
          <w:rFonts w:eastAsia="Times New Roman"/>
          <w:color w:val="000000" w:themeColor="text1"/>
          <w:szCs w:val="24"/>
        </w:rPr>
        <w:t>825</w:t>
      </w:r>
      <w:r w:rsidR="00B95EFA">
        <w:rPr>
          <w:rFonts w:eastAsia="Times New Roman"/>
          <w:color w:val="000000" w:themeColor="text1"/>
          <w:szCs w:val="24"/>
        </w:rPr>
        <w:t>00</w:t>
      </w:r>
      <w:r w:rsidR="003002B5">
        <w:rPr>
          <w:szCs w:val="24"/>
        </w:rPr>
        <w:t xml:space="preserve"> </w:t>
      </w:r>
      <w:r w:rsidR="00E91A48">
        <w:rPr>
          <w:szCs w:val="24"/>
        </w:rPr>
        <w:t>people</w:t>
      </w:r>
      <w:r w:rsidR="00D4044D">
        <w:rPr>
          <w:szCs w:val="24"/>
        </w:rPr>
        <w:t xml:space="preserve"> – a</w:t>
      </w:r>
      <w:r w:rsidR="001B0894">
        <w:rPr>
          <w:szCs w:val="24"/>
        </w:rPr>
        <w:t>n in</w:t>
      </w:r>
      <w:r w:rsidR="00FD75F4">
        <w:rPr>
          <w:szCs w:val="24"/>
        </w:rPr>
        <w:t>crease</w:t>
      </w:r>
      <w:r w:rsidR="00D4044D">
        <w:rPr>
          <w:szCs w:val="24"/>
        </w:rPr>
        <w:t xml:space="preserve"> of </w:t>
      </w:r>
      <w:r w:rsidR="001B0894">
        <w:rPr>
          <w:szCs w:val="24"/>
        </w:rPr>
        <w:t>3</w:t>
      </w:r>
      <w:r w:rsidR="00D4044D">
        <w:rPr>
          <w:szCs w:val="24"/>
        </w:rPr>
        <w:t>% from 2011</w:t>
      </w:r>
      <w:r w:rsidR="00E91A48">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212DD0">
        <w:rPr>
          <w:rFonts w:eastAsia="Times New Roman"/>
          <w:color w:val="000000" w:themeColor="text1"/>
          <w:szCs w:val="24"/>
        </w:rPr>
        <w:t>Entity 49</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4EEB2C73" w14:textId="77777777" w:rsidR="00EF6963"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8A2C08">
        <w:rPr>
          <w:rFonts w:eastAsia="Times New Roman"/>
          <w:color w:val="000000" w:themeColor="text1"/>
          <w:szCs w:val="24"/>
        </w:rPr>
        <w:t>18</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212DD0">
        <w:rPr>
          <w:rFonts w:eastAsia="Times New Roman"/>
          <w:color w:val="000000" w:themeColor="text1"/>
          <w:szCs w:val="24"/>
        </w:rPr>
        <w:t>Entity 49</w:t>
      </w:r>
      <w:r>
        <w:rPr>
          <w:rFonts w:eastAsia="Times New Roman"/>
          <w:color w:val="000000" w:themeColor="text1"/>
          <w:szCs w:val="24"/>
        </w:rPr>
        <w:t xml:space="preserve"> would therefore benefit the </w:t>
      </w:r>
      <w:r>
        <w:rPr>
          <w:rFonts w:eastAsia="Times New Roman"/>
          <w:color w:val="000000" w:themeColor="text1"/>
          <w:szCs w:val="24"/>
        </w:rPr>
        <w:lastRenderedPageBreak/>
        <w:t xml:space="preserve">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tbl>
      <w:tblPr>
        <w:tblpPr w:leftFromText="180" w:rightFromText="180" w:vertAnchor="text" w:tblpY="81"/>
        <w:tblOverlap w:val="never"/>
        <w:tblW w:w="5796" w:type="dxa"/>
        <w:tblLook w:val="04A0" w:firstRow="1" w:lastRow="0" w:firstColumn="1" w:lastColumn="0" w:noHBand="0" w:noVBand="1"/>
      </w:tblPr>
      <w:tblGrid>
        <w:gridCol w:w="2537"/>
        <w:gridCol w:w="1631"/>
        <w:gridCol w:w="1628"/>
      </w:tblGrid>
      <w:tr w:rsidR="00D7237A" w:rsidRPr="00EF6963" w14:paraId="2EC19D38" w14:textId="77777777" w:rsidTr="00D7237A">
        <w:trPr>
          <w:trHeight w:val="310"/>
        </w:trPr>
        <w:tc>
          <w:tcPr>
            <w:tcW w:w="5796" w:type="dxa"/>
            <w:gridSpan w:val="3"/>
            <w:tcBorders>
              <w:top w:val="nil"/>
              <w:left w:val="nil"/>
              <w:bottom w:val="single" w:sz="8" w:space="0" w:color="BFBFBF"/>
              <w:right w:val="nil"/>
            </w:tcBorders>
            <w:shd w:val="clear" w:color="auto" w:fill="auto"/>
            <w:noWrap/>
            <w:vAlign w:val="center"/>
            <w:hideMark/>
          </w:tcPr>
          <w:p w14:paraId="20C132AB" w14:textId="77777777" w:rsidR="00D7237A" w:rsidRPr="00EF6963" w:rsidRDefault="00D7237A" w:rsidP="00D7237A">
            <w:pPr>
              <w:spacing w:after="0" w:line="240" w:lineRule="auto"/>
              <w:jc w:val="center"/>
              <w:rPr>
                <w:rFonts w:eastAsia="Times New Roman"/>
                <w:b/>
                <w:bCs/>
                <w:color w:val="000000"/>
                <w:szCs w:val="24"/>
                <w:lang w:val="en-CA" w:eastAsia="en-CA"/>
              </w:rPr>
            </w:pPr>
            <w:r w:rsidRPr="00EF6963">
              <w:rPr>
                <w:rFonts w:eastAsia="Times New Roman"/>
                <w:b/>
                <w:bCs/>
                <w:color w:val="000000"/>
                <w:szCs w:val="24"/>
                <w:lang w:val="en-CA" w:eastAsia="en-CA"/>
              </w:rPr>
              <w:t>Voter Turnout by Existing Municipality</w:t>
            </w:r>
          </w:p>
        </w:tc>
      </w:tr>
      <w:tr w:rsidR="00D7237A" w:rsidRPr="00EF6963" w14:paraId="6A976D52" w14:textId="77777777" w:rsidTr="00D7237A">
        <w:trPr>
          <w:trHeight w:val="970"/>
        </w:trPr>
        <w:tc>
          <w:tcPr>
            <w:tcW w:w="2537" w:type="dxa"/>
            <w:tcBorders>
              <w:top w:val="nil"/>
              <w:left w:val="nil"/>
              <w:bottom w:val="nil"/>
              <w:right w:val="nil"/>
            </w:tcBorders>
            <w:shd w:val="clear" w:color="4472C4" w:fill="4472C4"/>
            <w:vAlign w:val="center"/>
            <w:hideMark/>
          </w:tcPr>
          <w:p w14:paraId="54B931AD" w14:textId="77777777" w:rsidR="00D7237A" w:rsidRPr="00EF6963" w:rsidRDefault="00D7237A" w:rsidP="00D7237A">
            <w:pPr>
              <w:spacing w:after="0" w:line="240" w:lineRule="auto"/>
              <w:jc w:val="center"/>
              <w:rPr>
                <w:rFonts w:eastAsia="Times New Roman"/>
                <w:b/>
                <w:bCs/>
                <w:color w:val="000000"/>
                <w:szCs w:val="24"/>
                <w:lang w:val="en-CA" w:eastAsia="en-CA"/>
              </w:rPr>
            </w:pPr>
            <w:r w:rsidRPr="00EF6963">
              <w:rPr>
                <w:rFonts w:eastAsia="Times New Roman"/>
                <w:b/>
                <w:bCs/>
                <w:color w:val="000000"/>
                <w:szCs w:val="24"/>
                <w:lang w:val="en-CA" w:eastAsia="en-CA"/>
              </w:rPr>
              <w:t>Municipality</w:t>
            </w:r>
          </w:p>
        </w:tc>
        <w:tc>
          <w:tcPr>
            <w:tcW w:w="1631" w:type="dxa"/>
            <w:tcBorders>
              <w:top w:val="nil"/>
              <w:left w:val="single" w:sz="4" w:space="0" w:color="FFFFFF"/>
              <w:bottom w:val="nil"/>
              <w:right w:val="nil"/>
            </w:tcBorders>
            <w:shd w:val="clear" w:color="4472C4" w:fill="4472C4"/>
            <w:hideMark/>
          </w:tcPr>
          <w:p w14:paraId="5FB3ACDC" w14:textId="77777777" w:rsidR="00D7237A" w:rsidRPr="00EF6963" w:rsidRDefault="00D7237A" w:rsidP="00D7237A">
            <w:pPr>
              <w:spacing w:after="0" w:line="240" w:lineRule="auto"/>
              <w:jc w:val="center"/>
              <w:rPr>
                <w:rFonts w:eastAsia="Times New Roman"/>
                <w:b/>
                <w:bCs/>
                <w:color w:val="000000"/>
                <w:szCs w:val="24"/>
                <w:lang w:val="en-CA" w:eastAsia="en-CA"/>
              </w:rPr>
            </w:pPr>
            <w:r w:rsidRPr="00EF6963">
              <w:rPr>
                <w:rFonts w:eastAsia="Times New Roman"/>
                <w:b/>
                <w:bCs/>
                <w:color w:val="000000"/>
                <w:szCs w:val="24"/>
                <w:lang w:val="en-CA" w:eastAsia="en-CA"/>
              </w:rPr>
              <w:t>Voter Participation 2012</w:t>
            </w:r>
            <w:r w:rsidRPr="00EF6963">
              <w:rPr>
                <w:rFonts w:eastAsia="Times New Roman"/>
                <w:b/>
                <w:bCs/>
                <w:color w:val="000000"/>
                <w:szCs w:val="24"/>
                <w:vertAlign w:val="superscript"/>
                <w:lang w:val="en-CA" w:eastAsia="en-CA"/>
              </w:rPr>
              <w:t>1</w:t>
            </w:r>
          </w:p>
        </w:tc>
        <w:tc>
          <w:tcPr>
            <w:tcW w:w="1628" w:type="dxa"/>
            <w:tcBorders>
              <w:top w:val="nil"/>
              <w:left w:val="single" w:sz="4" w:space="0" w:color="FFFFFF"/>
              <w:bottom w:val="nil"/>
              <w:right w:val="nil"/>
            </w:tcBorders>
            <w:shd w:val="clear" w:color="4472C4" w:fill="4472C4"/>
            <w:hideMark/>
          </w:tcPr>
          <w:p w14:paraId="0AFB6D29" w14:textId="77777777" w:rsidR="00D7237A" w:rsidRPr="00EF6963" w:rsidRDefault="00D7237A" w:rsidP="00D7237A">
            <w:pPr>
              <w:spacing w:after="0" w:line="240" w:lineRule="auto"/>
              <w:jc w:val="center"/>
              <w:rPr>
                <w:rFonts w:eastAsia="Times New Roman"/>
                <w:b/>
                <w:bCs/>
                <w:color w:val="000000"/>
                <w:szCs w:val="24"/>
                <w:lang w:val="en-CA" w:eastAsia="en-CA"/>
              </w:rPr>
            </w:pPr>
            <w:r w:rsidRPr="00EF6963">
              <w:rPr>
                <w:rFonts w:eastAsia="Times New Roman"/>
                <w:b/>
                <w:bCs/>
                <w:color w:val="000000"/>
                <w:szCs w:val="24"/>
                <w:lang w:val="en-CA" w:eastAsia="en-CA"/>
              </w:rPr>
              <w:t>Voter Participation 2016</w:t>
            </w:r>
          </w:p>
        </w:tc>
      </w:tr>
      <w:tr w:rsidR="00D7237A" w:rsidRPr="00EF6963" w14:paraId="7207A854" w14:textId="77777777" w:rsidTr="00D7237A">
        <w:trPr>
          <w:trHeight w:val="320"/>
        </w:trPr>
        <w:tc>
          <w:tcPr>
            <w:tcW w:w="2537" w:type="dxa"/>
            <w:tcBorders>
              <w:top w:val="single" w:sz="12" w:space="0" w:color="FFFFFF"/>
              <w:left w:val="nil"/>
              <w:bottom w:val="nil"/>
              <w:right w:val="nil"/>
            </w:tcBorders>
            <w:shd w:val="clear" w:color="B4C6E7" w:fill="B4C6E7"/>
            <w:noWrap/>
            <w:vAlign w:val="bottom"/>
            <w:hideMark/>
          </w:tcPr>
          <w:p w14:paraId="4E49E22B" w14:textId="77777777" w:rsidR="00D7237A" w:rsidRPr="00EF6963" w:rsidRDefault="00D7237A" w:rsidP="00D7237A">
            <w:pPr>
              <w:spacing w:after="0" w:line="240" w:lineRule="auto"/>
              <w:rPr>
                <w:rFonts w:eastAsia="Times New Roman"/>
                <w:color w:val="000000"/>
                <w:szCs w:val="24"/>
                <w:lang w:val="en-CA" w:eastAsia="en-CA"/>
              </w:rPr>
            </w:pPr>
            <w:r w:rsidRPr="00EF6963">
              <w:rPr>
                <w:rFonts w:eastAsia="Times New Roman"/>
                <w:color w:val="000000"/>
                <w:szCs w:val="24"/>
                <w:lang w:val="en-CA" w:eastAsia="en-CA"/>
              </w:rPr>
              <w:t>Fredericton</w:t>
            </w:r>
          </w:p>
        </w:tc>
        <w:tc>
          <w:tcPr>
            <w:tcW w:w="1631" w:type="dxa"/>
            <w:tcBorders>
              <w:top w:val="single" w:sz="12" w:space="0" w:color="FFFFFF"/>
              <w:left w:val="single" w:sz="4" w:space="0" w:color="FFFFFF"/>
              <w:bottom w:val="nil"/>
              <w:right w:val="nil"/>
            </w:tcBorders>
            <w:shd w:val="clear" w:color="B4C6E7" w:fill="B4C6E7"/>
            <w:noWrap/>
            <w:vAlign w:val="bottom"/>
            <w:hideMark/>
          </w:tcPr>
          <w:p w14:paraId="03765D5F" w14:textId="77777777" w:rsidR="00D7237A" w:rsidRPr="00EF6963" w:rsidRDefault="00D7237A" w:rsidP="00D7237A">
            <w:pPr>
              <w:spacing w:after="0" w:line="240" w:lineRule="auto"/>
              <w:jc w:val="right"/>
              <w:rPr>
                <w:rFonts w:eastAsia="Times New Roman"/>
                <w:color w:val="000000"/>
                <w:szCs w:val="24"/>
                <w:lang w:val="en-CA" w:eastAsia="en-CA"/>
              </w:rPr>
            </w:pPr>
            <w:r w:rsidRPr="00EF6963">
              <w:rPr>
                <w:rFonts w:eastAsia="Times New Roman"/>
                <w:color w:val="000000"/>
                <w:szCs w:val="24"/>
                <w:lang w:val="en-CA" w:eastAsia="en-CA"/>
              </w:rPr>
              <w:t>40.1%</w:t>
            </w:r>
          </w:p>
        </w:tc>
        <w:tc>
          <w:tcPr>
            <w:tcW w:w="1628" w:type="dxa"/>
            <w:tcBorders>
              <w:top w:val="single" w:sz="12" w:space="0" w:color="FFFFFF"/>
              <w:left w:val="single" w:sz="4" w:space="0" w:color="FFFFFF"/>
              <w:bottom w:val="nil"/>
              <w:right w:val="nil"/>
            </w:tcBorders>
            <w:shd w:val="clear" w:color="B4C6E7" w:fill="B4C6E7"/>
            <w:noWrap/>
            <w:vAlign w:val="bottom"/>
            <w:hideMark/>
          </w:tcPr>
          <w:p w14:paraId="6EE8BF81" w14:textId="77777777" w:rsidR="00D7237A" w:rsidRPr="00EF6963" w:rsidRDefault="00D7237A" w:rsidP="00D7237A">
            <w:pPr>
              <w:spacing w:after="0" w:line="240" w:lineRule="auto"/>
              <w:jc w:val="right"/>
              <w:rPr>
                <w:rFonts w:eastAsia="Times New Roman"/>
                <w:color w:val="000000"/>
                <w:szCs w:val="24"/>
                <w:lang w:val="en-CA" w:eastAsia="en-CA"/>
              </w:rPr>
            </w:pPr>
            <w:r w:rsidRPr="00EF6963">
              <w:rPr>
                <w:rFonts w:eastAsia="Times New Roman"/>
                <w:color w:val="000000"/>
                <w:szCs w:val="24"/>
                <w:lang w:val="en-CA" w:eastAsia="en-CA"/>
              </w:rPr>
              <w:t>36.8%</w:t>
            </w:r>
          </w:p>
        </w:tc>
      </w:tr>
      <w:tr w:rsidR="00D7237A" w:rsidRPr="00EF6963" w14:paraId="77F27A2E" w14:textId="77777777" w:rsidTr="00D7237A">
        <w:trPr>
          <w:trHeight w:val="310"/>
        </w:trPr>
        <w:tc>
          <w:tcPr>
            <w:tcW w:w="2537" w:type="dxa"/>
            <w:tcBorders>
              <w:top w:val="single" w:sz="4" w:space="0" w:color="FFFFFF"/>
              <w:left w:val="nil"/>
              <w:bottom w:val="nil"/>
              <w:right w:val="nil"/>
            </w:tcBorders>
            <w:shd w:val="clear" w:color="D9E1F2" w:fill="D9E1F2"/>
            <w:noWrap/>
            <w:vAlign w:val="bottom"/>
            <w:hideMark/>
          </w:tcPr>
          <w:p w14:paraId="2AD19115" w14:textId="77777777" w:rsidR="00D7237A" w:rsidRPr="00EF6963" w:rsidRDefault="00D7237A" w:rsidP="00D7237A">
            <w:pPr>
              <w:spacing w:after="0" w:line="240" w:lineRule="auto"/>
              <w:rPr>
                <w:rFonts w:eastAsia="Times New Roman"/>
                <w:color w:val="000000"/>
                <w:szCs w:val="24"/>
                <w:lang w:val="en-CA" w:eastAsia="en-CA"/>
              </w:rPr>
            </w:pPr>
            <w:r w:rsidRPr="00EF6963">
              <w:rPr>
                <w:rFonts w:eastAsia="Times New Roman"/>
                <w:color w:val="000000"/>
                <w:szCs w:val="24"/>
                <w:lang w:val="en-CA" w:eastAsia="en-CA"/>
              </w:rPr>
              <w:t>Hanwell</w:t>
            </w:r>
          </w:p>
        </w:tc>
        <w:tc>
          <w:tcPr>
            <w:tcW w:w="1631" w:type="dxa"/>
            <w:tcBorders>
              <w:top w:val="single" w:sz="4" w:space="0" w:color="FFFFFF"/>
              <w:left w:val="single" w:sz="4" w:space="0" w:color="FFFFFF"/>
              <w:bottom w:val="nil"/>
              <w:right w:val="nil"/>
            </w:tcBorders>
            <w:shd w:val="clear" w:color="D9E1F2" w:fill="D9E1F2"/>
            <w:noWrap/>
            <w:vAlign w:val="bottom"/>
            <w:hideMark/>
          </w:tcPr>
          <w:p w14:paraId="44B7A221" w14:textId="77777777" w:rsidR="00D7237A" w:rsidRPr="00EF6963" w:rsidRDefault="00D7237A" w:rsidP="00D7237A">
            <w:pPr>
              <w:spacing w:after="0" w:line="240" w:lineRule="auto"/>
              <w:jc w:val="right"/>
              <w:rPr>
                <w:rFonts w:eastAsia="Times New Roman"/>
                <w:color w:val="000000"/>
                <w:szCs w:val="24"/>
                <w:lang w:val="en-CA" w:eastAsia="en-CA"/>
              </w:rPr>
            </w:pPr>
            <w:r w:rsidRPr="00EF6963">
              <w:rPr>
                <w:rFonts w:eastAsia="Times New Roman"/>
                <w:color w:val="000000"/>
                <w:szCs w:val="24"/>
                <w:lang w:val="en-CA" w:eastAsia="en-CA"/>
              </w:rPr>
              <w:t>--- ---</w:t>
            </w:r>
          </w:p>
        </w:tc>
        <w:tc>
          <w:tcPr>
            <w:tcW w:w="1628" w:type="dxa"/>
            <w:tcBorders>
              <w:top w:val="single" w:sz="4" w:space="0" w:color="FFFFFF"/>
              <w:left w:val="single" w:sz="4" w:space="0" w:color="FFFFFF"/>
              <w:bottom w:val="nil"/>
              <w:right w:val="nil"/>
            </w:tcBorders>
            <w:shd w:val="clear" w:color="D9E1F2" w:fill="D9E1F2"/>
            <w:noWrap/>
            <w:vAlign w:val="bottom"/>
            <w:hideMark/>
          </w:tcPr>
          <w:p w14:paraId="53D39B1D" w14:textId="77777777" w:rsidR="00D7237A" w:rsidRPr="00EF6963" w:rsidRDefault="00D7237A" w:rsidP="00D7237A">
            <w:pPr>
              <w:spacing w:after="0" w:line="240" w:lineRule="auto"/>
              <w:jc w:val="right"/>
              <w:rPr>
                <w:rFonts w:eastAsia="Times New Roman"/>
                <w:color w:val="000000"/>
                <w:szCs w:val="24"/>
                <w:lang w:val="en-CA" w:eastAsia="en-CA"/>
              </w:rPr>
            </w:pPr>
            <w:r w:rsidRPr="00EF6963">
              <w:rPr>
                <w:rFonts w:eastAsia="Times New Roman"/>
                <w:color w:val="000000"/>
                <w:szCs w:val="24"/>
                <w:lang w:val="en-CA" w:eastAsia="en-CA"/>
              </w:rPr>
              <w:t>34.8%</w:t>
            </w:r>
          </w:p>
        </w:tc>
      </w:tr>
      <w:tr w:rsidR="00D7237A" w:rsidRPr="00EF6963" w14:paraId="5B999E6E" w14:textId="77777777" w:rsidTr="00D7237A">
        <w:trPr>
          <w:trHeight w:val="310"/>
        </w:trPr>
        <w:tc>
          <w:tcPr>
            <w:tcW w:w="2537" w:type="dxa"/>
            <w:tcBorders>
              <w:top w:val="single" w:sz="4" w:space="0" w:color="FFFFFF"/>
              <w:left w:val="nil"/>
              <w:bottom w:val="nil"/>
              <w:right w:val="nil"/>
            </w:tcBorders>
            <w:shd w:val="clear" w:color="B4C6E7" w:fill="B4C6E7"/>
            <w:noWrap/>
            <w:vAlign w:val="bottom"/>
            <w:hideMark/>
          </w:tcPr>
          <w:p w14:paraId="2C461DF7" w14:textId="77777777" w:rsidR="00D7237A" w:rsidRPr="00EF6963" w:rsidRDefault="00D7237A" w:rsidP="00D7237A">
            <w:pPr>
              <w:spacing w:after="0" w:line="240" w:lineRule="auto"/>
              <w:rPr>
                <w:rFonts w:eastAsia="Times New Roman"/>
                <w:color w:val="000000"/>
                <w:szCs w:val="24"/>
                <w:lang w:val="en-CA" w:eastAsia="en-CA"/>
              </w:rPr>
            </w:pPr>
            <w:r w:rsidRPr="00EF6963">
              <w:rPr>
                <w:rFonts w:eastAsia="Times New Roman"/>
                <w:color w:val="000000"/>
                <w:szCs w:val="24"/>
                <w:lang w:val="en-CA" w:eastAsia="en-CA"/>
              </w:rPr>
              <w:t>New Maryland</w:t>
            </w:r>
          </w:p>
        </w:tc>
        <w:tc>
          <w:tcPr>
            <w:tcW w:w="1631" w:type="dxa"/>
            <w:tcBorders>
              <w:top w:val="single" w:sz="4" w:space="0" w:color="FFFFFF"/>
              <w:left w:val="single" w:sz="4" w:space="0" w:color="FFFFFF"/>
              <w:bottom w:val="nil"/>
              <w:right w:val="nil"/>
            </w:tcBorders>
            <w:shd w:val="clear" w:color="B4C6E7" w:fill="B4C6E7"/>
            <w:noWrap/>
            <w:vAlign w:val="bottom"/>
            <w:hideMark/>
          </w:tcPr>
          <w:p w14:paraId="18F84BE6" w14:textId="77777777" w:rsidR="00D7237A" w:rsidRPr="00EF6963" w:rsidRDefault="00D7237A" w:rsidP="00D7237A">
            <w:pPr>
              <w:spacing w:after="0" w:line="240" w:lineRule="auto"/>
              <w:jc w:val="right"/>
              <w:rPr>
                <w:rFonts w:eastAsia="Times New Roman"/>
                <w:color w:val="000000"/>
                <w:szCs w:val="24"/>
                <w:lang w:val="en-CA" w:eastAsia="en-CA"/>
              </w:rPr>
            </w:pPr>
            <w:r w:rsidRPr="00EF6963">
              <w:rPr>
                <w:rFonts w:eastAsia="Times New Roman"/>
                <w:color w:val="000000"/>
                <w:szCs w:val="24"/>
                <w:lang w:val="en-CA" w:eastAsia="en-CA"/>
              </w:rPr>
              <w:t>41.4%</w:t>
            </w:r>
          </w:p>
        </w:tc>
        <w:tc>
          <w:tcPr>
            <w:tcW w:w="1628" w:type="dxa"/>
            <w:tcBorders>
              <w:top w:val="single" w:sz="4" w:space="0" w:color="FFFFFF"/>
              <w:left w:val="single" w:sz="4" w:space="0" w:color="FFFFFF"/>
              <w:bottom w:val="nil"/>
              <w:right w:val="nil"/>
            </w:tcBorders>
            <w:shd w:val="clear" w:color="B4C6E7" w:fill="B4C6E7"/>
            <w:noWrap/>
            <w:vAlign w:val="bottom"/>
            <w:hideMark/>
          </w:tcPr>
          <w:p w14:paraId="08846EC1" w14:textId="77777777" w:rsidR="00D7237A" w:rsidRPr="00EF6963" w:rsidRDefault="00D7237A" w:rsidP="00D7237A">
            <w:pPr>
              <w:spacing w:after="0" w:line="240" w:lineRule="auto"/>
              <w:jc w:val="right"/>
              <w:rPr>
                <w:rFonts w:eastAsia="Times New Roman"/>
                <w:color w:val="000000"/>
                <w:szCs w:val="24"/>
                <w:lang w:val="en-CA" w:eastAsia="en-CA"/>
              </w:rPr>
            </w:pPr>
            <w:r w:rsidRPr="00EF6963">
              <w:rPr>
                <w:rFonts w:eastAsia="Times New Roman"/>
                <w:color w:val="000000"/>
                <w:szCs w:val="24"/>
                <w:lang w:val="en-CA" w:eastAsia="en-CA"/>
              </w:rPr>
              <w:t>41.1%</w:t>
            </w:r>
          </w:p>
        </w:tc>
      </w:tr>
      <w:tr w:rsidR="00D7237A" w:rsidRPr="00EF6963" w14:paraId="686A7584" w14:textId="77777777" w:rsidTr="00D7237A">
        <w:trPr>
          <w:trHeight w:val="310"/>
        </w:trPr>
        <w:tc>
          <w:tcPr>
            <w:tcW w:w="2537" w:type="dxa"/>
            <w:tcBorders>
              <w:top w:val="single" w:sz="4" w:space="0" w:color="FFFFFF"/>
              <w:left w:val="nil"/>
              <w:bottom w:val="nil"/>
              <w:right w:val="nil"/>
            </w:tcBorders>
            <w:shd w:val="clear" w:color="D9E1F2" w:fill="D9E1F2"/>
            <w:noWrap/>
            <w:vAlign w:val="bottom"/>
            <w:hideMark/>
          </w:tcPr>
          <w:p w14:paraId="2F5FC445" w14:textId="77777777" w:rsidR="00D7237A" w:rsidRPr="00EF6963" w:rsidRDefault="00D7237A" w:rsidP="00D7237A">
            <w:pPr>
              <w:spacing w:after="0" w:line="240" w:lineRule="auto"/>
              <w:rPr>
                <w:rFonts w:eastAsia="Times New Roman"/>
                <w:color w:val="000000"/>
                <w:szCs w:val="24"/>
                <w:lang w:val="en-CA" w:eastAsia="en-CA"/>
              </w:rPr>
            </w:pPr>
            <w:r w:rsidRPr="00EF6963">
              <w:rPr>
                <w:rFonts w:eastAsia="Times New Roman"/>
                <w:color w:val="000000"/>
                <w:szCs w:val="24"/>
                <w:lang w:val="en-CA" w:eastAsia="en-CA"/>
              </w:rPr>
              <w:t>Harvey</w:t>
            </w:r>
          </w:p>
        </w:tc>
        <w:tc>
          <w:tcPr>
            <w:tcW w:w="1631" w:type="dxa"/>
            <w:tcBorders>
              <w:top w:val="single" w:sz="4" w:space="0" w:color="FFFFFF"/>
              <w:left w:val="single" w:sz="4" w:space="0" w:color="FFFFFF"/>
              <w:bottom w:val="nil"/>
              <w:right w:val="nil"/>
            </w:tcBorders>
            <w:shd w:val="clear" w:color="D9E1F2" w:fill="D9E1F2"/>
            <w:noWrap/>
            <w:vAlign w:val="bottom"/>
            <w:hideMark/>
          </w:tcPr>
          <w:p w14:paraId="07F94A89" w14:textId="77777777" w:rsidR="00D7237A" w:rsidRPr="00EF6963" w:rsidRDefault="00D7237A" w:rsidP="00D7237A">
            <w:pPr>
              <w:spacing w:after="0" w:line="240" w:lineRule="auto"/>
              <w:jc w:val="right"/>
              <w:rPr>
                <w:rFonts w:eastAsia="Times New Roman"/>
                <w:color w:val="000000"/>
                <w:szCs w:val="24"/>
                <w:lang w:val="en-CA" w:eastAsia="en-CA"/>
              </w:rPr>
            </w:pPr>
            <w:r w:rsidRPr="00EF6963">
              <w:rPr>
                <w:rFonts w:eastAsia="Times New Roman"/>
                <w:color w:val="000000"/>
                <w:szCs w:val="24"/>
                <w:lang w:val="en-CA" w:eastAsia="en-CA"/>
              </w:rPr>
              <w:t>acclaimed</w:t>
            </w:r>
          </w:p>
        </w:tc>
        <w:tc>
          <w:tcPr>
            <w:tcW w:w="1628" w:type="dxa"/>
            <w:tcBorders>
              <w:top w:val="single" w:sz="4" w:space="0" w:color="FFFFFF"/>
              <w:left w:val="single" w:sz="4" w:space="0" w:color="FFFFFF"/>
              <w:bottom w:val="nil"/>
              <w:right w:val="nil"/>
            </w:tcBorders>
            <w:shd w:val="clear" w:color="D9E1F2" w:fill="D9E1F2"/>
            <w:noWrap/>
            <w:vAlign w:val="bottom"/>
            <w:hideMark/>
          </w:tcPr>
          <w:p w14:paraId="01AD177B" w14:textId="77777777" w:rsidR="00D7237A" w:rsidRPr="00EF6963" w:rsidRDefault="00D7237A" w:rsidP="00D7237A">
            <w:pPr>
              <w:spacing w:after="0" w:line="240" w:lineRule="auto"/>
              <w:jc w:val="right"/>
              <w:rPr>
                <w:rFonts w:eastAsia="Times New Roman"/>
                <w:color w:val="000000"/>
                <w:szCs w:val="24"/>
                <w:lang w:val="en-CA" w:eastAsia="en-CA"/>
              </w:rPr>
            </w:pPr>
            <w:r w:rsidRPr="00EF6963">
              <w:rPr>
                <w:rFonts w:eastAsia="Times New Roman"/>
                <w:color w:val="000000"/>
                <w:szCs w:val="24"/>
                <w:lang w:val="en-CA" w:eastAsia="en-CA"/>
              </w:rPr>
              <w:t>52.2%</w:t>
            </w:r>
          </w:p>
        </w:tc>
      </w:tr>
      <w:tr w:rsidR="00D7237A" w:rsidRPr="00EF6963" w14:paraId="2E60FD39" w14:textId="77777777" w:rsidTr="00D7237A">
        <w:trPr>
          <w:trHeight w:val="290"/>
        </w:trPr>
        <w:tc>
          <w:tcPr>
            <w:tcW w:w="5796" w:type="dxa"/>
            <w:gridSpan w:val="3"/>
            <w:tcBorders>
              <w:top w:val="nil"/>
              <w:left w:val="nil"/>
              <w:bottom w:val="nil"/>
              <w:right w:val="nil"/>
            </w:tcBorders>
            <w:shd w:val="clear" w:color="auto" w:fill="auto"/>
            <w:noWrap/>
            <w:vAlign w:val="bottom"/>
            <w:hideMark/>
          </w:tcPr>
          <w:p w14:paraId="572B2CC2" w14:textId="77777777" w:rsidR="00D7237A" w:rsidRPr="00EF6963" w:rsidRDefault="00D7237A" w:rsidP="00D7237A">
            <w:pPr>
              <w:spacing w:after="0" w:line="240" w:lineRule="auto"/>
              <w:rPr>
                <w:rFonts w:eastAsia="Times New Roman"/>
                <w:color w:val="000000"/>
                <w:sz w:val="20"/>
                <w:szCs w:val="20"/>
                <w:lang w:val="en-CA" w:eastAsia="en-CA"/>
              </w:rPr>
            </w:pPr>
            <w:r w:rsidRPr="00EF6963">
              <w:rPr>
                <w:rFonts w:eastAsia="Times New Roman"/>
                <w:color w:val="000000"/>
                <w:sz w:val="20"/>
                <w:szCs w:val="20"/>
                <w:lang w:val="en-CA" w:eastAsia="en-CA"/>
              </w:rPr>
              <w:t>1. Elections NB</w:t>
            </w:r>
          </w:p>
        </w:tc>
      </w:tr>
    </w:tbl>
    <w:p w14:paraId="1CFFBE57" w14:textId="3510769B" w:rsidR="00494A52" w:rsidRDefault="007353DE" w:rsidP="00E71EDE">
      <w:pPr>
        <w:jc w:val="both"/>
        <w:rPr>
          <w:rFonts w:eastAsia="Times New Roman"/>
          <w:color w:val="000000" w:themeColor="text1"/>
          <w:szCs w:val="24"/>
        </w:rPr>
      </w:pPr>
      <w:r>
        <w:rPr>
          <w:rFonts w:eastAsia="Times New Roman"/>
          <w:color w:val="000000" w:themeColor="text1"/>
          <w:szCs w:val="24"/>
        </w:rPr>
        <w:t xml:space="preserve">In addition, amalgamation would benefit the proposed entity’s </w:t>
      </w:r>
      <w:r w:rsidR="00F23738">
        <w:rPr>
          <w:rFonts w:eastAsia="Times New Roman"/>
          <w:color w:val="000000" w:themeColor="text1"/>
          <w:szCs w:val="24"/>
        </w:rPr>
        <w:t xml:space="preserve">four </w:t>
      </w:r>
      <w:r>
        <w:rPr>
          <w:rFonts w:eastAsia="Times New Roman"/>
          <w:color w:val="000000" w:themeColor="text1"/>
          <w:szCs w:val="24"/>
        </w:rPr>
        <w:t>existing municipalit</w:t>
      </w:r>
      <w:r w:rsidR="00BC5D95">
        <w:rPr>
          <w:rFonts w:eastAsia="Times New Roman"/>
          <w:color w:val="000000" w:themeColor="text1"/>
          <w:szCs w:val="24"/>
        </w:rPr>
        <w:t>i</w:t>
      </w:r>
      <w:r w:rsidR="00F506BF">
        <w:rPr>
          <w:rFonts w:eastAsia="Times New Roman"/>
          <w:color w:val="000000" w:themeColor="text1"/>
          <w:szCs w:val="24"/>
        </w:rPr>
        <w:t>es’</w:t>
      </w:r>
      <w:r>
        <w:rPr>
          <w:rFonts w:eastAsia="Times New Roman"/>
          <w:color w:val="000000" w:themeColor="text1"/>
          <w:szCs w:val="24"/>
        </w:rPr>
        <w:t xml:space="preserve"> democratic institutions.</w:t>
      </w:r>
      <w:r w:rsidR="00A83E2A">
        <w:rPr>
          <w:rFonts w:eastAsia="Times New Roman"/>
          <w:color w:val="000000" w:themeColor="text1"/>
          <w:szCs w:val="24"/>
        </w:rPr>
        <w:t xml:space="preserve"> </w:t>
      </w:r>
      <w:r w:rsidR="003562CF">
        <w:rPr>
          <w:rFonts w:eastAsia="Times New Roman"/>
          <w:color w:val="000000" w:themeColor="text1"/>
          <w:szCs w:val="24"/>
        </w:rPr>
        <w:t xml:space="preserve">Fredericton, Hanwell, and New Maryland have </w:t>
      </w:r>
      <w:r w:rsidR="0091779E">
        <w:rPr>
          <w:rFonts w:eastAsia="Times New Roman"/>
          <w:color w:val="000000" w:themeColor="text1"/>
          <w:szCs w:val="24"/>
        </w:rPr>
        <w:t>voter turnout rates lower than the provincial average, but in the cases of Fredericton and New Maryland, these low voter turnouts are actually part of a broader trend. From</w:t>
      </w:r>
      <w:r w:rsidR="003219A9">
        <w:rPr>
          <w:rFonts w:eastAsia="Times New Roman"/>
          <w:color w:val="000000" w:themeColor="text1"/>
          <w:szCs w:val="24"/>
        </w:rPr>
        <w:t xml:space="preserve"> 2012 to 2016 both communities saw their turnout rates decrease – though admittedly the decrease in New Maryland were quite marginal. </w:t>
      </w:r>
      <w:r w:rsidR="00135875">
        <w:rPr>
          <w:rFonts w:eastAsia="Times New Roman"/>
          <w:color w:val="000000" w:themeColor="text1"/>
          <w:szCs w:val="24"/>
        </w:rPr>
        <w:t xml:space="preserve">As it was not yet incorporated in 2012, Hanwell has held only one quadrennial election </w:t>
      </w:r>
      <w:r w:rsidR="009B6A36">
        <w:rPr>
          <w:rFonts w:eastAsia="Times New Roman"/>
          <w:color w:val="000000" w:themeColor="text1"/>
          <w:szCs w:val="24"/>
        </w:rPr>
        <w:t xml:space="preserve">so far and so no trends are yet discernable. However, it is notable that while the voter turnout in Rural-Communities is on average </w:t>
      </w:r>
      <w:r w:rsidR="00460192">
        <w:rPr>
          <w:rFonts w:eastAsia="Times New Roman"/>
          <w:color w:val="000000" w:themeColor="text1"/>
          <w:szCs w:val="24"/>
        </w:rPr>
        <w:t>higher than turnout province-wide</w:t>
      </w:r>
      <w:r w:rsidR="00E612C2">
        <w:rPr>
          <w:rFonts w:eastAsia="Times New Roman"/>
          <w:color w:val="000000" w:themeColor="text1"/>
          <w:szCs w:val="24"/>
        </w:rPr>
        <w:t xml:space="preserve">, Hanwell </w:t>
      </w:r>
      <w:r w:rsidR="009450C6">
        <w:rPr>
          <w:rFonts w:eastAsia="Times New Roman"/>
          <w:color w:val="000000" w:themeColor="text1"/>
          <w:szCs w:val="24"/>
        </w:rPr>
        <w:t xml:space="preserve">is among the worst performing local governance entity overall and by class. Though Harvey has reported the highest voter turnout rate of the four entities being examined, it has also experienced an election by </w:t>
      </w:r>
      <w:r w:rsidR="007E6EFD">
        <w:rPr>
          <w:rFonts w:eastAsia="Times New Roman"/>
          <w:color w:val="000000" w:themeColor="text1"/>
          <w:szCs w:val="24"/>
        </w:rPr>
        <w:t>acclamation</w:t>
      </w:r>
      <w:r w:rsidR="009450C6">
        <w:rPr>
          <w:rFonts w:eastAsia="Times New Roman"/>
          <w:color w:val="000000" w:themeColor="text1"/>
          <w:szCs w:val="24"/>
        </w:rPr>
        <w:t xml:space="preserve"> in the last decade. Elections by </w:t>
      </w:r>
      <w:r w:rsidR="007E6EFD">
        <w:rPr>
          <w:rFonts w:eastAsia="Times New Roman"/>
          <w:color w:val="000000" w:themeColor="text1"/>
          <w:szCs w:val="24"/>
        </w:rPr>
        <w:t>acclamation</w:t>
      </w:r>
      <w:r w:rsidR="009450C6">
        <w:rPr>
          <w:rFonts w:eastAsia="Times New Roman"/>
          <w:color w:val="000000" w:themeColor="text1"/>
          <w:szCs w:val="24"/>
        </w:rPr>
        <w:t xml:space="preserve"> indicate a degradation in a municipality’s potential candidate pool, as while positions are available, not enough </w:t>
      </w:r>
      <w:r w:rsidR="007E6EFD">
        <w:rPr>
          <w:rFonts w:eastAsia="Times New Roman"/>
          <w:color w:val="000000" w:themeColor="text1"/>
          <w:szCs w:val="24"/>
        </w:rPr>
        <w:t>candidates can be found to allow for a competitive election.</w:t>
      </w:r>
      <w:r w:rsidR="00CA43BA">
        <w:rPr>
          <w:rFonts w:eastAsia="Times New Roman"/>
          <w:color w:val="000000" w:themeColor="text1"/>
          <w:szCs w:val="24"/>
        </w:rPr>
        <w:t xml:space="preserve"> While less quantifiable than voter participation, the resilience of a community’s potential candidate pool is just as important an indicator of a municipality’s overall democratic health. </w:t>
      </w:r>
    </w:p>
    <w:p w14:paraId="49FB7576" w14:textId="4F7F6399" w:rsidR="00AC2DC3" w:rsidRDefault="00342B7F" w:rsidP="00E97E54">
      <w:pPr>
        <w:rPr>
          <w:rFonts w:eastAsia="Times New Roman"/>
          <w:color w:val="000000" w:themeColor="text1"/>
          <w:szCs w:val="24"/>
        </w:rPr>
      </w:pPr>
      <w:r>
        <w:rPr>
          <w:rFonts w:eastAsia="Times New Roman"/>
          <w:color w:val="000000" w:themeColor="text1"/>
          <w:szCs w:val="24"/>
        </w:rPr>
        <w:t xml:space="preserve">The solution for the municipalities of proposed </w:t>
      </w:r>
      <w:r w:rsidR="00212DD0">
        <w:rPr>
          <w:rFonts w:eastAsia="Times New Roman"/>
          <w:color w:val="000000" w:themeColor="text1"/>
          <w:szCs w:val="24"/>
        </w:rPr>
        <w:t>Entity 49</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indicating that the inclusion of contiguous unincorporated populations can improve voter turnouts in existing municipalities.</w:t>
      </w:r>
      <w:r w:rsidR="0096354C">
        <w:rPr>
          <w:rFonts w:eastAsia="Times New Roman"/>
          <w:color w:val="000000" w:themeColor="text1"/>
          <w:szCs w:val="24"/>
        </w:rPr>
        <w:t xml:space="preserve"> </w:t>
      </w:r>
      <w:r w:rsidR="00752617">
        <w:rPr>
          <w:rFonts w:eastAsia="Times New Roman"/>
          <w:color w:val="000000" w:themeColor="text1"/>
          <w:szCs w:val="24"/>
        </w:rPr>
        <w:t xml:space="preserve">Additionally, the </w:t>
      </w:r>
      <w:r w:rsidR="00E971D4">
        <w:rPr>
          <w:rFonts w:eastAsia="Times New Roman"/>
          <w:color w:val="000000" w:themeColor="text1"/>
          <w:szCs w:val="24"/>
        </w:rPr>
        <w:t>amalgamation</w:t>
      </w:r>
      <w:r w:rsidR="00752617">
        <w:rPr>
          <w:rFonts w:eastAsia="Times New Roman"/>
          <w:color w:val="000000" w:themeColor="text1"/>
          <w:szCs w:val="24"/>
        </w:rPr>
        <w:t xml:space="preserve"> of the existing municipalities and </w:t>
      </w:r>
      <w:r w:rsidR="00E971D4">
        <w:rPr>
          <w:rFonts w:eastAsia="Times New Roman"/>
          <w:color w:val="000000" w:themeColor="text1"/>
          <w:szCs w:val="24"/>
        </w:rPr>
        <w:t>incorporation</w:t>
      </w:r>
      <w:r w:rsidR="00752617">
        <w:rPr>
          <w:rFonts w:eastAsia="Times New Roman"/>
          <w:color w:val="000000" w:themeColor="text1"/>
          <w:szCs w:val="24"/>
        </w:rPr>
        <w:t xml:space="preserve"> of contiguous populations in LSDs will </w:t>
      </w:r>
      <w:r w:rsidR="00E971D4">
        <w:rPr>
          <w:rFonts w:eastAsia="Times New Roman"/>
          <w:color w:val="000000" w:themeColor="text1"/>
          <w:szCs w:val="24"/>
        </w:rPr>
        <w:t xml:space="preserve">allow for the development of a more robust candidate pool. Provided that new ward boundaries are designed well, </w:t>
      </w:r>
      <w:r w:rsidR="00170FF1">
        <w:rPr>
          <w:rFonts w:eastAsia="Times New Roman"/>
          <w:color w:val="000000" w:themeColor="text1"/>
          <w:szCs w:val="24"/>
        </w:rPr>
        <w:t xml:space="preserve">the incorporation of previously excluded populations can have a very beneficial effect on the competitiveness of local elections. </w:t>
      </w:r>
      <w:r w:rsidR="00E971D4">
        <w:rPr>
          <w:rFonts w:eastAsia="Times New Roman"/>
          <w:color w:val="000000" w:themeColor="text1"/>
          <w:szCs w:val="24"/>
        </w:rPr>
        <w:t xml:space="preserve"> </w:t>
      </w:r>
      <w:r w:rsidR="00E97E54">
        <w:rPr>
          <w:rFonts w:eastAsia="Times New Roman"/>
          <w:color w:val="000000" w:themeColor="text1"/>
          <w:szCs w:val="24"/>
        </w:rPr>
        <w:t xml:space="preserve">An example of such a strategy succeeding can be observed in the Village of Eel River Crossing. In 2014, a number of contiguous LSDs voted to join the nearby village, resulting in a 2015 election which was highly contested. </w:t>
      </w:r>
      <w:r w:rsidR="00E97E54" w:rsidRPr="00226288">
        <w:rPr>
          <w:rFonts w:eastAsia="Times New Roman"/>
          <w:color w:val="000000" w:themeColor="text1"/>
          <w:szCs w:val="24"/>
        </w:rPr>
        <w:t>Eel River Crossing’s first election s</w:t>
      </w:r>
      <w:r w:rsidR="00E97E54">
        <w:rPr>
          <w:rFonts w:eastAsia="Times New Roman"/>
          <w:color w:val="000000" w:themeColor="text1"/>
          <w:szCs w:val="24"/>
        </w:rPr>
        <w:t xml:space="preserve">aw 8 </w:t>
      </w:r>
      <w:r w:rsidR="00E97E54" w:rsidRPr="00226288">
        <w:rPr>
          <w:rFonts w:eastAsia="Times New Roman"/>
          <w:color w:val="000000" w:themeColor="text1"/>
          <w:szCs w:val="24"/>
        </w:rPr>
        <w:t xml:space="preserve">candidates compete for 4 at-large councillor positions. Of these </w:t>
      </w:r>
      <w:r w:rsidR="00E97E54">
        <w:rPr>
          <w:rFonts w:eastAsia="Times New Roman"/>
          <w:color w:val="000000" w:themeColor="text1"/>
          <w:szCs w:val="24"/>
        </w:rPr>
        <w:t>8</w:t>
      </w:r>
      <w:r w:rsidR="00E97E54" w:rsidRPr="00226288">
        <w:rPr>
          <w:rFonts w:eastAsia="Times New Roman"/>
          <w:color w:val="000000" w:themeColor="text1"/>
          <w:szCs w:val="24"/>
        </w:rPr>
        <w:t xml:space="preserve"> candidates, 4 were from previously unincorporated areas. </w:t>
      </w:r>
      <w:r w:rsidR="00E97E54">
        <w:rPr>
          <w:rFonts w:eastAsia="Times New Roman"/>
          <w:color w:val="000000" w:themeColor="text1"/>
          <w:szCs w:val="24"/>
        </w:rPr>
        <w:t xml:space="preserve">Because the population of these LSDs represent just less than half of the proposed entity’s total population, enabling their participation as both voters and candidates will give </w:t>
      </w:r>
      <w:r w:rsidR="00212DD0">
        <w:rPr>
          <w:rFonts w:eastAsia="Times New Roman"/>
          <w:color w:val="000000" w:themeColor="text1"/>
          <w:szCs w:val="24"/>
        </w:rPr>
        <w:t>Entity 49</w:t>
      </w:r>
      <w:r w:rsidR="00E97E54">
        <w:rPr>
          <w:rFonts w:eastAsia="Times New Roman"/>
          <w:color w:val="000000" w:themeColor="text1"/>
          <w:szCs w:val="24"/>
        </w:rPr>
        <w:t xml:space="preserve"> a better chance at developing healthy and sustainable democratic institutions.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lastRenderedPageBreak/>
        <w:t>Financial Base</w:t>
      </w:r>
    </w:p>
    <w:p w14:paraId="161CD499" w14:textId="1B2C6220" w:rsidR="002D1F21" w:rsidRPr="00226288" w:rsidRDefault="00212DD0" w:rsidP="00900633">
      <w:pPr>
        <w:jc w:val="both"/>
      </w:pPr>
      <w:r>
        <w:t>Entity 49</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5ABC569B" w:rsidR="002D1F21" w:rsidRPr="00133FA1" w:rsidRDefault="00226288" w:rsidP="00BC58A1">
      <w:pPr>
        <w:rPr>
          <w:rFonts w:eastAsia="Times New Roman"/>
          <w:color w:val="000000"/>
          <w:sz w:val="20"/>
          <w:szCs w:val="20"/>
          <w:lang w:val="en-CA" w:eastAsia="en-CA"/>
        </w:rPr>
      </w:pPr>
      <w:r w:rsidRPr="00226288">
        <w:t xml:space="preserve">Because its population </w:t>
      </w:r>
      <w:r w:rsidR="0096354C">
        <w:t xml:space="preserve">is above </w:t>
      </w:r>
      <w:r w:rsidR="00F91686">
        <w:t>4</w:t>
      </w:r>
      <w:r w:rsidR="0096354C">
        <w:t>0</w:t>
      </w:r>
      <w:r w:rsidR="00275F78">
        <w:t>000</w:t>
      </w:r>
      <w:r w:rsidRPr="00226288">
        <w:t xml:space="preserve">, </w:t>
      </w:r>
      <w:r w:rsidR="00212DD0">
        <w:t>Entity 49</w:t>
      </w:r>
      <w:r w:rsidR="00B125F3">
        <w:t xml:space="preserve"> would qualify as a ‘Group </w:t>
      </w:r>
      <w:r w:rsidR="00F91686">
        <w:t>C</w:t>
      </w:r>
      <w:r w:rsidR="003B2A08">
        <w:t>’</w:t>
      </w:r>
      <w:r w:rsidRPr="00226288">
        <w:t xml:space="preserve"> municipality</w:t>
      </w:r>
      <w:r w:rsidR="003011C3">
        <w:t xml:space="preserve">. </w:t>
      </w:r>
      <w:r w:rsidR="00BC58A1">
        <w:t xml:space="preserve">As </w:t>
      </w:r>
      <w:r w:rsidR="00F03494">
        <w:t>Entity 49</w:t>
      </w:r>
      <w:r w:rsidR="00BC58A1">
        <w:t xml:space="preserve">’s assessment base per capita </w:t>
      </w:r>
      <w:r w:rsidR="00BC58A1" w:rsidRPr="000852E9">
        <w:rPr>
          <w:szCs w:val="24"/>
        </w:rPr>
        <w:t xml:space="preserve">would </w:t>
      </w:r>
      <w:r w:rsidR="00BC58A1">
        <w:rPr>
          <w:szCs w:val="24"/>
        </w:rPr>
        <w:t>be greater than</w:t>
      </w:r>
      <w:r w:rsidR="00BC58A1" w:rsidRPr="000852E9">
        <w:rPr>
          <w:szCs w:val="24"/>
        </w:rPr>
        <w:t xml:space="preserve"> the group average, </w:t>
      </w:r>
      <w:r w:rsidR="00BC58A1">
        <w:rPr>
          <w:szCs w:val="24"/>
        </w:rPr>
        <w:t>it would not be entitled to an</w:t>
      </w:r>
      <w:r w:rsidR="00BC58A1" w:rsidRPr="000852E9">
        <w:rPr>
          <w:szCs w:val="24"/>
        </w:rPr>
        <w:t xml:space="preserve"> annual equalization </w:t>
      </w:r>
      <w:r w:rsidR="00BC58A1" w:rsidRPr="00FA1F49">
        <w:rPr>
          <w:szCs w:val="24"/>
        </w:rPr>
        <w:t>grant</w:t>
      </w:r>
      <w:r w:rsidR="00BC58A1">
        <w:rPr>
          <w:szCs w:val="24"/>
        </w:rPr>
        <w:t>.</w:t>
      </w:r>
      <w:r w:rsidR="00BC58A1" w:rsidRPr="00FA1F49">
        <w:rPr>
          <w:szCs w:val="24"/>
        </w:rPr>
        <w:t xml:space="preserve"> </w:t>
      </w:r>
      <w:r w:rsidR="00BC58A1">
        <w:rPr>
          <w:rFonts w:eastAsia="Times New Roman"/>
          <w:color w:val="000000"/>
          <w:szCs w:val="24"/>
          <w:lang w:val="en-CA" w:eastAsia="en-CA"/>
        </w:rPr>
        <w:t xml:space="preserve">Rather, equal opportunity among the 53 municipalities would be guaranteed by its expanded tax warrant. </w:t>
      </w:r>
      <w:r w:rsidR="00F03494">
        <w:rPr>
          <w:rFonts w:eastAsia="Times New Roman"/>
          <w:color w:val="000000"/>
          <w:szCs w:val="24"/>
          <w:lang w:val="en-CA" w:eastAsia="en-CA"/>
        </w:rPr>
        <w:t>W</w:t>
      </w:r>
      <w:r w:rsidR="00BC58A1" w:rsidRPr="009E0C04">
        <w:rPr>
          <w:szCs w:val="24"/>
        </w:rPr>
        <w:t>ith the tax room transfer from the provincial</w:t>
      </w:r>
      <w:r w:rsidR="00BC58A1" w:rsidRPr="00C61508">
        <w:rPr>
          <w:szCs w:val="24"/>
        </w:rPr>
        <w:t xml:space="preserve"> government to municipal </w:t>
      </w:r>
      <w:r w:rsidR="00BC58A1" w:rsidRPr="00FA1F49">
        <w:rPr>
          <w:szCs w:val="24"/>
        </w:rPr>
        <w:t xml:space="preserve">governments included in the proposed new framework, </w:t>
      </w:r>
      <w:r w:rsidR="00F03494">
        <w:rPr>
          <w:szCs w:val="24"/>
        </w:rPr>
        <w:t>Entity 49</w:t>
      </w:r>
      <w:r w:rsidR="00BC58A1" w:rsidRPr="00FA1F49">
        <w:rPr>
          <w:szCs w:val="24"/>
        </w:rPr>
        <w:t xml:space="preserve">’s assessment </w:t>
      </w:r>
      <w:r w:rsidR="00BC58A1" w:rsidRPr="00F03494">
        <w:rPr>
          <w:szCs w:val="24"/>
        </w:rPr>
        <w:t xml:space="preserve">base of </w:t>
      </w:r>
      <w:r w:rsidR="00133FA1" w:rsidRPr="00F03494">
        <w:rPr>
          <w:rFonts w:eastAsia="Times New Roman"/>
          <w:color w:val="000000"/>
          <w:szCs w:val="24"/>
          <w:lang w:val="en-CA" w:eastAsia="en-CA"/>
        </w:rPr>
        <w:t>$8,630,319,000</w:t>
      </w:r>
      <w:r w:rsidR="00BC58A1" w:rsidRPr="00F03494">
        <w:rPr>
          <w:szCs w:val="24"/>
        </w:rPr>
        <w:t xml:space="preserve"> would</w:t>
      </w:r>
      <w:r w:rsidR="00BC58A1" w:rsidRPr="00A26B00">
        <w:rPr>
          <w:szCs w:val="24"/>
        </w:rPr>
        <w:t xml:space="preserve"> be able to yield more revenue than it could under the current local governance regime.</w:t>
      </w:r>
      <w:r w:rsidR="00BC58A1" w:rsidRPr="004E399E">
        <w:rPr>
          <w:szCs w:val="24"/>
        </w:rPr>
        <w:t xml:space="preserve"> Equal Opportunity among municipalities remains a priority in the new framework, but the primary guarantor of said equality is now tax warrants rather than equalization</w:t>
      </w:r>
      <w:r w:rsidR="00BC58A1">
        <w:t xml:space="preserve"> payments.</w:t>
      </w:r>
    </w:p>
    <w:p w14:paraId="61B53BEF" w14:textId="3D70C262"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212DD0">
        <w:t>Entity 49</w:t>
      </w:r>
      <w:r w:rsidRPr="00226288">
        <w:t xml:space="preserve">, nor does it indicate that the entire municipality will operate with one uniform property tax rate. </w:t>
      </w:r>
      <w:r w:rsidRPr="00226288">
        <w:rPr>
          <w:rFonts w:eastAsia="Times New Roman"/>
          <w:szCs w:val="24"/>
        </w:rPr>
        <w:t xml:space="preserve">Because </w:t>
      </w:r>
      <w:r w:rsidR="00212DD0">
        <w:rPr>
          <w:rFonts w:eastAsia="Times New Roman"/>
          <w:szCs w:val="24"/>
        </w:rPr>
        <w:t>Entity 49</w:t>
      </w:r>
      <w:r w:rsidRPr="00226288">
        <w:rPr>
          <w:rFonts w:eastAsia="Times New Roman"/>
          <w:szCs w:val="24"/>
        </w:rPr>
        <w:t xml:space="preserve"> would be composed of </w:t>
      </w:r>
      <w:r w:rsidR="001F580B">
        <w:rPr>
          <w:rFonts w:eastAsia="Times New Roman"/>
          <w:szCs w:val="24"/>
        </w:rPr>
        <w:t xml:space="preserve">urban. </w:t>
      </w:r>
      <w:r w:rsidRPr="00226288">
        <w:rPr>
          <w:rFonts w:eastAsia="Times New Roman"/>
          <w:szCs w:val="24"/>
        </w:rPr>
        <w:t>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4F4647EF" w14:textId="7E9A2AFD" w:rsidR="00CA008A"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F03494">
        <w:t>Fredericton</w:t>
      </w:r>
      <w:r w:rsidR="001F580B">
        <w:t xml:space="preserve"> already operates with</w:t>
      </w:r>
      <w:r w:rsidR="003011C3">
        <w:t xml:space="preserve"> a two tiered property tax regime where those inside the urban area and those outside are charged substantially different rates.  </w:t>
      </w:r>
    </w:p>
    <w:p w14:paraId="42654CD4" w14:textId="605382CC" w:rsidR="00226288" w:rsidRPr="00226288" w:rsidRDefault="00226288" w:rsidP="00900633">
      <w:pPr>
        <w:jc w:val="both"/>
      </w:pPr>
      <w:r w:rsidRPr="00226288">
        <w:t xml:space="preserve">Overall, then, </w:t>
      </w:r>
      <w:r w:rsidR="00212DD0">
        <w:t>Entity 49</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3BD95669" w:rsidR="00226288" w:rsidRPr="00226288" w:rsidRDefault="00226288" w:rsidP="00226288">
      <w:pPr>
        <w:rPr>
          <w:b/>
          <w:bCs/>
        </w:rPr>
      </w:pPr>
      <w:r w:rsidRPr="00226288">
        <w:rPr>
          <w:b/>
          <w:bCs/>
        </w:rPr>
        <w:t>Division of Municipal and Provincial Responsibilities</w:t>
      </w:r>
    </w:p>
    <w:p w14:paraId="69E71E05" w14:textId="373B1536" w:rsidR="003003FC" w:rsidRPr="00226288" w:rsidRDefault="003003FC" w:rsidP="003003FC">
      <w:pPr>
        <w:jc w:val="both"/>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w:t>
      </w:r>
      <w:r w:rsidRPr="00226288">
        <w:rPr>
          <w:rFonts w:eastAsia="Times New Roman"/>
          <w:szCs w:val="24"/>
        </w:rPr>
        <w:lastRenderedPageBreak/>
        <w:t xml:space="preserve">recreation, public transportation, and more. Whether or not this sort of expansion is done is entirely up to the residents of </w:t>
      </w:r>
      <w:r w:rsidR="00212DD0">
        <w:rPr>
          <w:rFonts w:eastAsia="Times New Roman"/>
          <w:szCs w:val="24"/>
        </w:rPr>
        <w:t>Entity 49</w:t>
      </w:r>
      <w:r w:rsidRPr="00226288">
        <w:rPr>
          <w:rFonts w:eastAsia="Times New Roman"/>
          <w:szCs w:val="24"/>
        </w:rPr>
        <w:t>, and the tax rates of the entity would reflect this level of service</w:t>
      </w:r>
      <w:r>
        <w:rPr>
          <w:rFonts w:eastAsia="Times New Roman"/>
          <w:szCs w:val="24"/>
        </w:rPr>
        <w:t xml:space="preserve">. </w:t>
      </w: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641ABCF" w14:textId="09C5CA4F" w:rsidR="003003FC" w:rsidRDefault="00212DD0" w:rsidP="003003FC">
      <w:pPr>
        <w:jc w:val="both"/>
        <w:rPr>
          <w:rFonts w:eastAsia="Times New Roman"/>
          <w:szCs w:val="24"/>
        </w:rPr>
      </w:pPr>
      <w:r>
        <w:rPr>
          <w:rFonts w:eastAsia="Times New Roman"/>
          <w:szCs w:val="24"/>
        </w:rPr>
        <w:t>Entity 49</w:t>
      </w:r>
      <w:r w:rsidR="003003FC" w:rsidRPr="00226288">
        <w:rPr>
          <w:rFonts w:eastAsia="Times New Roman"/>
          <w:szCs w:val="24"/>
        </w:rPr>
        <w:t xml:space="preserve"> would belong to </w:t>
      </w:r>
      <w:r w:rsidR="00262CDE">
        <w:rPr>
          <w:rFonts w:eastAsia="Times New Roman"/>
          <w:szCs w:val="24"/>
        </w:rPr>
        <w:t>RSD 11</w:t>
      </w:r>
      <w:r w:rsidR="003003FC" w:rsidRPr="00226288">
        <w:rPr>
          <w:rFonts w:eastAsia="Times New Roman"/>
          <w:szCs w:val="24"/>
        </w:rPr>
        <w:t xml:space="preserve"> along with </w:t>
      </w:r>
      <w:bookmarkStart w:id="0" w:name="_Hlk40085397"/>
      <w:r w:rsidR="003003FC">
        <w:rPr>
          <w:rFonts w:eastAsia="Times New Roman"/>
          <w:szCs w:val="24"/>
        </w:rPr>
        <w:t xml:space="preserve">Entities </w:t>
      </w:r>
      <w:r w:rsidR="006303E7">
        <w:rPr>
          <w:rFonts w:eastAsia="Times New Roman"/>
          <w:szCs w:val="24"/>
        </w:rPr>
        <w:t>4</w:t>
      </w:r>
      <w:r w:rsidR="00271013">
        <w:rPr>
          <w:rFonts w:eastAsia="Times New Roman"/>
          <w:szCs w:val="24"/>
        </w:rPr>
        <w:t>7</w:t>
      </w:r>
      <w:r w:rsidR="006303E7">
        <w:rPr>
          <w:rFonts w:eastAsia="Times New Roman"/>
          <w:szCs w:val="24"/>
        </w:rPr>
        <w:t xml:space="preserve">, </w:t>
      </w:r>
      <w:r w:rsidR="003003FC">
        <w:rPr>
          <w:rFonts w:eastAsia="Times New Roman"/>
          <w:szCs w:val="24"/>
        </w:rPr>
        <w:t>4</w:t>
      </w:r>
      <w:r w:rsidR="001F580B">
        <w:rPr>
          <w:rFonts w:eastAsia="Times New Roman"/>
          <w:szCs w:val="24"/>
        </w:rPr>
        <w:t>8</w:t>
      </w:r>
      <w:r w:rsidR="009B7460">
        <w:rPr>
          <w:rFonts w:eastAsia="Times New Roman"/>
          <w:szCs w:val="24"/>
        </w:rPr>
        <w:t>, and 50</w:t>
      </w:r>
      <w:r w:rsidR="003003FC" w:rsidRPr="00226288">
        <w:rPr>
          <w:rFonts w:eastAsia="Times New Roman"/>
          <w:szCs w:val="24"/>
        </w:rPr>
        <w:t>. As with each municipal entity</w:t>
      </w:r>
      <w:bookmarkEnd w:id="0"/>
      <w:r w:rsidR="003003FC" w:rsidRPr="00226288">
        <w:rPr>
          <w:rFonts w:eastAsia="Times New Roman"/>
          <w:szCs w:val="24"/>
        </w:rPr>
        <w:t xml:space="preserve">, RSDs could conceivably be named, but this would be left to each to determine for itself. All </w:t>
      </w:r>
      <w:r w:rsidR="003003FC">
        <w:rPr>
          <w:rFonts w:eastAsia="Times New Roman"/>
          <w:szCs w:val="24"/>
        </w:rPr>
        <w:t>e</w:t>
      </w:r>
      <w:r w:rsidR="003003FC" w:rsidRPr="00226288">
        <w:rPr>
          <w:rFonts w:eastAsia="Times New Roman"/>
          <w:szCs w:val="24"/>
        </w:rPr>
        <w:t xml:space="preserve">ntities </w:t>
      </w:r>
      <w:r w:rsidR="003003FC">
        <w:rPr>
          <w:rFonts w:eastAsia="Times New Roman"/>
          <w:szCs w:val="24"/>
        </w:rPr>
        <w:t>w</w:t>
      </w:r>
      <w:r w:rsidR="003003FC" w:rsidRPr="00226288">
        <w:rPr>
          <w:rFonts w:eastAsia="Times New Roman"/>
          <w:szCs w:val="24"/>
        </w:rPr>
        <w:t>ould b</w:t>
      </w:r>
      <w:r w:rsidR="003003FC">
        <w:rPr>
          <w:rFonts w:eastAsia="Times New Roman"/>
          <w:szCs w:val="24"/>
        </w:rPr>
        <w:t xml:space="preserve">e </w:t>
      </w:r>
      <w:r w:rsidR="003003FC" w:rsidRPr="00226288">
        <w:rPr>
          <w:rFonts w:eastAsia="Times New Roman"/>
          <w:szCs w:val="24"/>
        </w:rPr>
        <w:t xml:space="preserve">partners in the provision of regional services, with each contributing in accordance with their respective demographic and tax bases. </w:t>
      </w:r>
    </w:p>
    <w:p w14:paraId="664BE818" w14:textId="2D3DFFDA" w:rsidR="003003FC" w:rsidRDefault="003003FC" w:rsidP="003003FC">
      <w:pPr>
        <w:jc w:val="both"/>
        <w:rPr>
          <w:rFonts w:eastAsia="Times New Roman"/>
          <w:szCs w:val="24"/>
        </w:rPr>
      </w:pPr>
      <w:r w:rsidRPr="00226288">
        <w:rPr>
          <w:rFonts w:eastAsia="Times New Roman"/>
          <w:szCs w:val="24"/>
        </w:rPr>
        <w:t xml:space="preserve">While this region is too large to be incorporated into a single municipality, the populations nonetheless have a great deal of shared experiences and challenges. </w:t>
      </w:r>
      <w:r w:rsidR="00262CDE">
        <w:rPr>
          <w:rFonts w:eastAsia="Times New Roman"/>
          <w:szCs w:val="24"/>
        </w:rPr>
        <w:t>RSD 11</w:t>
      </w:r>
      <w:r>
        <w:rPr>
          <w:rFonts w:eastAsia="Times New Roman"/>
          <w:szCs w:val="24"/>
        </w:rPr>
        <w:t xml:space="preserve"> covers portions of </w:t>
      </w:r>
      <w:r w:rsidR="006B25D4">
        <w:rPr>
          <w:rFonts w:eastAsia="Times New Roman"/>
          <w:szCs w:val="24"/>
        </w:rPr>
        <w:t xml:space="preserve">York, </w:t>
      </w:r>
      <w:r w:rsidR="009C2886">
        <w:rPr>
          <w:rFonts w:eastAsia="Times New Roman"/>
          <w:szCs w:val="24"/>
        </w:rPr>
        <w:t xml:space="preserve">Queens, </w:t>
      </w:r>
      <w:r w:rsidR="00042040">
        <w:rPr>
          <w:rFonts w:eastAsia="Times New Roman"/>
          <w:szCs w:val="24"/>
        </w:rPr>
        <w:t xml:space="preserve">and </w:t>
      </w:r>
      <w:r w:rsidR="002F73F5">
        <w:rPr>
          <w:rFonts w:eastAsia="Times New Roman"/>
          <w:szCs w:val="24"/>
        </w:rPr>
        <w:t>Sunbury</w:t>
      </w:r>
      <w:r w:rsidR="00042040">
        <w:rPr>
          <w:rFonts w:eastAsia="Times New Roman"/>
          <w:szCs w:val="24"/>
        </w:rPr>
        <w:t xml:space="preserve"> counties</w:t>
      </w:r>
      <w:r w:rsidR="00957D47">
        <w:rPr>
          <w:rFonts w:eastAsia="Times New Roman"/>
          <w:szCs w:val="24"/>
        </w:rPr>
        <w:t xml:space="preserve"> </w:t>
      </w:r>
      <w:r>
        <w:rPr>
          <w:rFonts w:eastAsia="Times New Roman"/>
          <w:szCs w:val="24"/>
        </w:rPr>
        <w:t>and the distribution of commuters reflects the economic interdependence within these areas</w:t>
      </w:r>
      <w:r w:rsidR="00A02599">
        <w:rPr>
          <w:rFonts w:eastAsia="Times New Roman"/>
          <w:szCs w:val="24"/>
        </w:rPr>
        <w:t xml:space="preserve">. </w:t>
      </w:r>
      <w:r w:rsidR="004F7111">
        <w:rPr>
          <w:rFonts w:eastAsia="Times New Roman"/>
          <w:szCs w:val="24"/>
        </w:rPr>
        <w:t xml:space="preserve">Entity 50, which is entirely contained </w:t>
      </w:r>
      <w:r w:rsidR="00C81BB4">
        <w:rPr>
          <w:rFonts w:eastAsia="Times New Roman"/>
          <w:szCs w:val="24"/>
        </w:rPr>
        <w:t xml:space="preserve">within York county, has 77% of its commuters leave their own communities </w:t>
      </w:r>
      <w:r w:rsidR="006A7C07">
        <w:rPr>
          <w:rFonts w:eastAsia="Times New Roman"/>
          <w:szCs w:val="24"/>
        </w:rPr>
        <w:t xml:space="preserve">but remain within the county. </w:t>
      </w:r>
      <w:r w:rsidR="008C1BBA">
        <w:rPr>
          <w:rFonts w:eastAsia="Times New Roman"/>
          <w:szCs w:val="24"/>
        </w:rPr>
        <w:t xml:space="preserve"> </w:t>
      </w:r>
      <w:r w:rsidR="004057B4">
        <w:rPr>
          <w:rFonts w:eastAsia="Times New Roman"/>
          <w:szCs w:val="24"/>
        </w:rPr>
        <w:t xml:space="preserve">Likewise, the portions of the other three proposed entities not included in York county </w:t>
      </w:r>
      <w:r w:rsidR="003B5EEE">
        <w:rPr>
          <w:rFonts w:eastAsia="Times New Roman"/>
          <w:szCs w:val="24"/>
        </w:rPr>
        <w:t xml:space="preserve">travel outside their counties of origins for work. The only exception in this regard is </w:t>
      </w:r>
      <w:r w:rsidR="00212DD0">
        <w:rPr>
          <w:rFonts w:eastAsia="Times New Roman"/>
          <w:szCs w:val="24"/>
        </w:rPr>
        <w:t>Entity 49</w:t>
      </w:r>
      <w:r w:rsidR="00B82E97">
        <w:rPr>
          <w:rFonts w:eastAsia="Times New Roman"/>
          <w:szCs w:val="24"/>
        </w:rPr>
        <w:t xml:space="preserve"> which does support a significant group of commuters who remain within their own communities in </w:t>
      </w:r>
      <w:r w:rsidR="000C7E7B">
        <w:rPr>
          <w:rFonts w:eastAsia="Times New Roman"/>
          <w:szCs w:val="24"/>
        </w:rPr>
        <w:t xml:space="preserve">Sunbury county. Overall, however, </w:t>
      </w:r>
      <w:r w:rsidR="00BE6885">
        <w:rPr>
          <w:rFonts w:eastAsia="Times New Roman"/>
          <w:szCs w:val="24"/>
        </w:rPr>
        <w:t xml:space="preserve">the economies of the four entities of RSD 11 are dependent on the </w:t>
      </w:r>
      <w:r w:rsidR="00CC30B9">
        <w:rPr>
          <w:rFonts w:eastAsia="Times New Roman"/>
          <w:szCs w:val="24"/>
        </w:rPr>
        <w:t>economic hub of Fredericton proper. In addition to lower costs associated with shared regional services, this</w:t>
      </w:r>
      <w:r w:rsidR="00933BDF">
        <w:rPr>
          <w:rFonts w:eastAsia="Times New Roman"/>
          <w:szCs w:val="24"/>
        </w:rPr>
        <w:t xml:space="preserve"> regional cooperation will therefore also allow </w:t>
      </w:r>
      <w:r>
        <w:rPr>
          <w:rFonts w:eastAsia="Times New Roman"/>
          <w:szCs w:val="24"/>
        </w:rPr>
        <w:t xml:space="preserve">for further collaborative economic planning to reflect the interconnected economies of these communities. </w:t>
      </w:r>
    </w:p>
    <w:p w14:paraId="0913CD72" w14:textId="773EB720" w:rsidR="003003FC" w:rsidRPr="00226288" w:rsidRDefault="00CA008A" w:rsidP="003003FC">
      <w:pPr>
        <w:jc w:val="both"/>
        <w:rPr>
          <w:rFonts w:eastAsia="Times New Roman"/>
          <w:szCs w:val="24"/>
        </w:rPr>
      </w:pPr>
      <w:r>
        <w:rPr>
          <w:noProof/>
          <w:szCs w:val="24"/>
        </w:rPr>
        <w:lastRenderedPageBreak/>
        <w:drawing>
          <wp:anchor distT="0" distB="0" distL="114300" distR="114300" simplePos="0" relativeHeight="251658240" behindDoc="0" locked="0" layoutInCell="1" allowOverlap="1" wp14:anchorId="57BD3108" wp14:editId="31FD4ECF">
            <wp:simplePos x="0" y="0"/>
            <wp:positionH relativeFrom="column">
              <wp:posOffset>1874911</wp:posOffset>
            </wp:positionH>
            <wp:positionV relativeFrom="paragraph">
              <wp:posOffset>956261</wp:posOffset>
            </wp:positionV>
            <wp:extent cx="4065905" cy="3317875"/>
            <wp:effectExtent l="0" t="0" r="0" b="0"/>
            <wp:wrapThrough wrapText="bothSides">
              <wp:wrapPolygon edited="0">
                <wp:start x="0" y="0"/>
                <wp:lineTo x="0" y="21455"/>
                <wp:lineTo x="21455" y="21455"/>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65905" cy="331787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3FC">
        <w:rPr>
          <w:rFonts w:eastAsia="Times New Roman"/>
          <w:szCs w:val="24"/>
        </w:rPr>
        <w:t>By better enabling municipalities to provide the services their citizens require through cooperation in service provision, t</w:t>
      </w:r>
      <w:r w:rsidR="003003FC"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5C26D3F7" w:rsidR="00226288" w:rsidRPr="00226288" w:rsidRDefault="00226288" w:rsidP="00226288">
      <w:pPr>
        <w:rPr>
          <w:rFonts w:eastAsia="Times New Roman"/>
          <w:szCs w:val="24"/>
        </w:rPr>
      </w:pPr>
      <w:r w:rsidRPr="00226288">
        <w:rPr>
          <w:rFonts w:eastAsia="Times New Roman"/>
          <w:szCs w:val="24"/>
        </w:rPr>
        <w:t xml:space="preserve">Overall, </w:t>
      </w:r>
      <w:r w:rsidR="00212DD0">
        <w:rPr>
          <w:rFonts w:eastAsia="Times New Roman"/>
          <w:szCs w:val="24"/>
        </w:rPr>
        <w:t>Entity 49</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4663F" w14:textId="77777777" w:rsidR="00132BDB" w:rsidRDefault="00132BDB" w:rsidP="00533253">
      <w:pPr>
        <w:spacing w:after="0" w:line="240" w:lineRule="auto"/>
      </w:pPr>
      <w:r>
        <w:separator/>
      </w:r>
    </w:p>
  </w:endnote>
  <w:endnote w:type="continuationSeparator" w:id="0">
    <w:p w14:paraId="09775A94" w14:textId="77777777" w:rsidR="00132BDB" w:rsidRDefault="00132BDB" w:rsidP="00533253">
      <w:pPr>
        <w:spacing w:after="0" w:line="240" w:lineRule="auto"/>
      </w:pPr>
      <w:r>
        <w:continuationSeparator/>
      </w:r>
    </w:p>
  </w:endnote>
  <w:endnote w:type="continuationNotice" w:id="1">
    <w:p w14:paraId="55DF683D" w14:textId="77777777" w:rsidR="00132BDB" w:rsidRDefault="00132B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6FEE0" w14:textId="77777777" w:rsidR="00132BDB" w:rsidRDefault="00132BDB" w:rsidP="00533253">
      <w:pPr>
        <w:spacing w:after="0" w:line="240" w:lineRule="auto"/>
      </w:pPr>
      <w:r>
        <w:separator/>
      </w:r>
    </w:p>
  </w:footnote>
  <w:footnote w:type="continuationSeparator" w:id="0">
    <w:p w14:paraId="010DB9E2" w14:textId="77777777" w:rsidR="00132BDB" w:rsidRDefault="00132BDB" w:rsidP="00533253">
      <w:pPr>
        <w:spacing w:after="0" w:line="240" w:lineRule="auto"/>
      </w:pPr>
      <w:r>
        <w:continuationSeparator/>
      </w:r>
    </w:p>
  </w:footnote>
  <w:footnote w:type="continuationNotice" w:id="1">
    <w:p w14:paraId="6275DBD9" w14:textId="77777777" w:rsidR="00132BDB" w:rsidRDefault="00132BDB">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0F"/>
    <w:rsid w:val="00000176"/>
    <w:rsid w:val="00000375"/>
    <w:rsid w:val="00002431"/>
    <w:rsid w:val="00003764"/>
    <w:rsid w:val="00006447"/>
    <w:rsid w:val="000071C6"/>
    <w:rsid w:val="0000746C"/>
    <w:rsid w:val="00007593"/>
    <w:rsid w:val="00007AEF"/>
    <w:rsid w:val="00011EC1"/>
    <w:rsid w:val="00015BE1"/>
    <w:rsid w:val="00021D5B"/>
    <w:rsid w:val="00022DE1"/>
    <w:rsid w:val="000238B0"/>
    <w:rsid w:val="00024638"/>
    <w:rsid w:val="00024CFD"/>
    <w:rsid w:val="000259AF"/>
    <w:rsid w:val="00025F29"/>
    <w:rsid w:val="00030AEF"/>
    <w:rsid w:val="00031BC5"/>
    <w:rsid w:val="00034174"/>
    <w:rsid w:val="000356BA"/>
    <w:rsid w:val="0003581E"/>
    <w:rsid w:val="000361EA"/>
    <w:rsid w:val="000366A7"/>
    <w:rsid w:val="00037D03"/>
    <w:rsid w:val="000408EA"/>
    <w:rsid w:val="0004189C"/>
    <w:rsid w:val="00042040"/>
    <w:rsid w:val="00042FC5"/>
    <w:rsid w:val="00043761"/>
    <w:rsid w:val="000467DA"/>
    <w:rsid w:val="00047B47"/>
    <w:rsid w:val="00050419"/>
    <w:rsid w:val="00050D78"/>
    <w:rsid w:val="000521C5"/>
    <w:rsid w:val="00054665"/>
    <w:rsid w:val="0005610E"/>
    <w:rsid w:val="00056919"/>
    <w:rsid w:val="00060188"/>
    <w:rsid w:val="0006054E"/>
    <w:rsid w:val="00061B5D"/>
    <w:rsid w:val="00062C5C"/>
    <w:rsid w:val="00063797"/>
    <w:rsid w:val="00063FB6"/>
    <w:rsid w:val="000654DF"/>
    <w:rsid w:val="0006709B"/>
    <w:rsid w:val="000705CD"/>
    <w:rsid w:val="0007121F"/>
    <w:rsid w:val="000726CD"/>
    <w:rsid w:val="00072995"/>
    <w:rsid w:val="0007315E"/>
    <w:rsid w:val="00074531"/>
    <w:rsid w:val="00076E13"/>
    <w:rsid w:val="000778C0"/>
    <w:rsid w:val="000804BC"/>
    <w:rsid w:val="00081AC4"/>
    <w:rsid w:val="000832B3"/>
    <w:rsid w:val="0008735F"/>
    <w:rsid w:val="00091112"/>
    <w:rsid w:val="000947F5"/>
    <w:rsid w:val="0009529B"/>
    <w:rsid w:val="000A0FA4"/>
    <w:rsid w:val="000A28EE"/>
    <w:rsid w:val="000A336D"/>
    <w:rsid w:val="000A372D"/>
    <w:rsid w:val="000A4051"/>
    <w:rsid w:val="000A4303"/>
    <w:rsid w:val="000A4742"/>
    <w:rsid w:val="000A4D7C"/>
    <w:rsid w:val="000A6251"/>
    <w:rsid w:val="000A7607"/>
    <w:rsid w:val="000B16FF"/>
    <w:rsid w:val="000B2384"/>
    <w:rsid w:val="000B2468"/>
    <w:rsid w:val="000B3770"/>
    <w:rsid w:val="000B3B59"/>
    <w:rsid w:val="000B4F4D"/>
    <w:rsid w:val="000B52E6"/>
    <w:rsid w:val="000B543A"/>
    <w:rsid w:val="000C0824"/>
    <w:rsid w:val="000C3008"/>
    <w:rsid w:val="000C30F7"/>
    <w:rsid w:val="000C33C7"/>
    <w:rsid w:val="000C3547"/>
    <w:rsid w:val="000C483C"/>
    <w:rsid w:val="000C7E7B"/>
    <w:rsid w:val="000D0004"/>
    <w:rsid w:val="000D0C37"/>
    <w:rsid w:val="000D0E5E"/>
    <w:rsid w:val="000D4B7F"/>
    <w:rsid w:val="000D539E"/>
    <w:rsid w:val="000D7B94"/>
    <w:rsid w:val="000D7F02"/>
    <w:rsid w:val="000E009D"/>
    <w:rsid w:val="000E0371"/>
    <w:rsid w:val="000E0B96"/>
    <w:rsid w:val="000F062C"/>
    <w:rsid w:val="000F3310"/>
    <w:rsid w:val="000F56BB"/>
    <w:rsid w:val="000F56D9"/>
    <w:rsid w:val="000F5759"/>
    <w:rsid w:val="000F5A77"/>
    <w:rsid w:val="000F6363"/>
    <w:rsid w:val="000F6376"/>
    <w:rsid w:val="000F737F"/>
    <w:rsid w:val="000F7938"/>
    <w:rsid w:val="000F7AB3"/>
    <w:rsid w:val="0010084F"/>
    <w:rsid w:val="001010F7"/>
    <w:rsid w:val="00101D9B"/>
    <w:rsid w:val="00102CB7"/>
    <w:rsid w:val="00105136"/>
    <w:rsid w:val="0010518B"/>
    <w:rsid w:val="0010753B"/>
    <w:rsid w:val="00110A6A"/>
    <w:rsid w:val="00111E79"/>
    <w:rsid w:val="001120C5"/>
    <w:rsid w:val="0011552A"/>
    <w:rsid w:val="001174A0"/>
    <w:rsid w:val="001217B8"/>
    <w:rsid w:val="0012393A"/>
    <w:rsid w:val="00132BDB"/>
    <w:rsid w:val="001333B6"/>
    <w:rsid w:val="00133FA1"/>
    <w:rsid w:val="00134A12"/>
    <w:rsid w:val="00134CB1"/>
    <w:rsid w:val="0013553C"/>
    <w:rsid w:val="00135875"/>
    <w:rsid w:val="0013603A"/>
    <w:rsid w:val="00136F8C"/>
    <w:rsid w:val="001429F2"/>
    <w:rsid w:val="00143193"/>
    <w:rsid w:val="001434FE"/>
    <w:rsid w:val="00144572"/>
    <w:rsid w:val="00146E92"/>
    <w:rsid w:val="00147376"/>
    <w:rsid w:val="0015194D"/>
    <w:rsid w:val="00151FDA"/>
    <w:rsid w:val="00155057"/>
    <w:rsid w:val="00156AEF"/>
    <w:rsid w:val="00157164"/>
    <w:rsid w:val="001577D4"/>
    <w:rsid w:val="001618D5"/>
    <w:rsid w:val="00162133"/>
    <w:rsid w:val="00163993"/>
    <w:rsid w:val="001640B8"/>
    <w:rsid w:val="00170FF1"/>
    <w:rsid w:val="001713C5"/>
    <w:rsid w:val="00171BE4"/>
    <w:rsid w:val="00171F0E"/>
    <w:rsid w:val="00172214"/>
    <w:rsid w:val="00177BBC"/>
    <w:rsid w:val="00181A0E"/>
    <w:rsid w:val="00182F1D"/>
    <w:rsid w:val="0018359D"/>
    <w:rsid w:val="00183857"/>
    <w:rsid w:val="00190B92"/>
    <w:rsid w:val="00191519"/>
    <w:rsid w:val="00194CEE"/>
    <w:rsid w:val="00195492"/>
    <w:rsid w:val="001961F9"/>
    <w:rsid w:val="001A0135"/>
    <w:rsid w:val="001A086F"/>
    <w:rsid w:val="001A093E"/>
    <w:rsid w:val="001A21A9"/>
    <w:rsid w:val="001A4616"/>
    <w:rsid w:val="001A4A6F"/>
    <w:rsid w:val="001A5EB0"/>
    <w:rsid w:val="001B01EA"/>
    <w:rsid w:val="001B0894"/>
    <w:rsid w:val="001B0CCA"/>
    <w:rsid w:val="001B0FF6"/>
    <w:rsid w:val="001B197B"/>
    <w:rsid w:val="001B2623"/>
    <w:rsid w:val="001B479C"/>
    <w:rsid w:val="001B4F0F"/>
    <w:rsid w:val="001B4F70"/>
    <w:rsid w:val="001C04E8"/>
    <w:rsid w:val="001C2040"/>
    <w:rsid w:val="001C359A"/>
    <w:rsid w:val="001C38B6"/>
    <w:rsid w:val="001C5988"/>
    <w:rsid w:val="001D00C9"/>
    <w:rsid w:val="001D2EA1"/>
    <w:rsid w:val="001D2F8A"/>
    <w:rsid w:val="001D5074"/>
    <w:rsid w:val="001D5FFD"/>
    <w:rsid w:val="001D653E"/>
    <w:rsid w:val="001D6C80"/>
    <w:rsid w:val="001E2D26"/>
    <w:rsid w:val="001E7839"/>
    <w:rsid w:val="001F1365"/>
    <w:rsid w:val="001F1E7F"/>
    <w:rsid w:val="001F29E6"/>
    <w:rsid w:val="001F35C3"/>
    <w:rsid w:val="001F4CD6"/>
    <w:rsid w:val="001F5724"/>
    <w:rsid w:val="001F57F4"/>
    <w:rsid w:val="001F580B"/>
    <w:rsid w:val="001F6003"/>
    <w:rsid w:val="001F6F3C"/>
    <w:rsid w:val="001F74EA"/>
    <w:rsid w:val="001F7C93"/>
    <w:rsid w:val="00200EE0"/>
    <w:rsid w:val="002025E6"/>
    <w:rsid w:val="00203B46"/>
    <w:rsid w:val="00203CFE"/>
    <w:rsid w:val="00205CFB"/>
    <w:rsid w:val="00210E4A"/>
    <w:rsid w:val="002120AC"/>
    <w:rsid w:val="00212DD0"/>
    <w:rsid w:val="0021316D"/>
    <w:rsid w:val="00214405"/>
    <w:rsid w:val="00215178"/>
    <w:rsid w:val="00215CFD"/>
    <w:rsid w:val="00217690"/>
    <w:rsid w:val="00217691"/>
    <w:rsid w:val="0021795F"/>
    <w:rsid w:val="0022025D"/>
    <w:rsid w:val="0022220E"/>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5BC1"/>
    <w:rsid w:val="00236721"/>
    <w:rsid w:val="00240283"/>
    <w:rsid w:val="0024155A"/>
    <w:rsid w:val="00242CFD"/>
    <w:rsid w:val="00246CF0"/>
    <w:rsid w:val="00247692"/>
    <w:rsid w:val="00255EFF"/>
    <w:rsid w:val="0025631E"/>
    <w:rsid w:val="0025663D"/>
    <w:rsid w:val="00262CDE"/>
    <w:rsid w:val="0026319F"/>
    <w:rsid w:val="00263EA3"/>
    <w:rsid w:val="00264825"/>
    <w:rsid w:val="00264855"/>
    <w:rsid w:val="00265C6F"/>
    <w:rsid w:val="00267321"/>
    <w:rsid w:val="00267766"/>
    <w:rsid w:val="00267D9E"/>
    <w:rsid w:val="0027002D"/>
    <w:rsid w:val="00270252"/>
    <w:rsid w:val="0027093A"/>
    <w:rsid w:val="00271013"/>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3291"/>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D6602"/>
    <w:rsid w:val="002D7F65"/>
    <w:rsid w:val="002E0EF6"/>
    <w:rsid w:val="002E180D"/>
    <w:rsid w:val="002E19C3"/>
    <w:rsid w:val="002E58B1"/>
    <w:rsid w:val="002E6D98"/>
    <w:rsid w:val="002F043D"/>
    <w:rsid w:val="002F14AF"/>
    <w:rsid w:val="002F2119"/>
    <w:rsid w:val="002F4093"/>
    <w:rsid w:val="002F42D3"/>
    <w:rsid w:val="002F6043"/>
    <w:rsid w:val="002F62E8"/>
    <w:rsid w:val="002F6FA4"/>
    <w:rsid w:val="002F73F5"/>
    <w:rsid w:val="003002B5"/>
    <w:rsid w:val="00300314"/>
    <w:rsid w:val="003003FC"/>
    <w:rsid w:val="003011C3"/>
    <w:rsid w:val="003016AD"/>
    <w:rsid w:val="003024AA"/>
    <w:rsid w:val="0030415E"/>
    <w:rsid w:val="0030471B"/>
    <w:rsid w:val="003055AC"/>
    <w:rsid w:val="00306270"/>
    <w:rsid w:val="00307880"/>
    <w:rsid w:val="00310128"/>
    <w:rsid w:val="00312A25"/>
    <w:rsid w:val="00313389"/>
    <w:rsid w:val="003152BF"/>
    <w:rsid w:val="003157B4"/>
    <w:rsid w:val="00315B1E"/>
    <w:rsid w:val="0031663B"/>
    <w:rsid w:val="00317DEF"/>
    <w:rsid w:val="00320964"/>
    <w:rsid w:val="003219A9"/>
    <w:rsid w:val="003219CB"/>
    <w:rsid w:val="0032204E"/>
    <w:rsid w:val="0032259E"/>
    <w:rsid w:val="0032547E"/>
    <w:rsid w:val="00326643"/>
    <w:rsid w:val="00326D5B"/>
    <w:rsid w:val="00331342"/>
    <w:rsid w:val="00332FF6"/>
    <w:rsid w:val="00333276"/>
    <w:rsid w:val="003343CD"/>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2CF"/>
    <w:rsid w:val="003563EC"/>
    <w:rsid w:val="00361F02"/>
    <w:rsid w:val="003622AC"/>
    <w:rsid w:val="00365444"/>
    <w:rsid w:val="00365826"/>
    <w:rsid w:val="00365E92"/>
    <w:rsid w:val="00367100"/>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26F9"/>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B5EEE"/>
    <w:rsid w:val="003C2229"/>
    <w:rsid w:val="003C2DA4"/>
    <w:rsid w:val="003C3DFA"/>
    <w:rsid w:val="003C47BF"/>
    <w:rsid w:val="003C5853"/>
    <w:rsid w:val="003D1D6C"/>
    <w:rsid w:val="003D28EA"/>
    <w:rsid w:val="003D3F4B"/>
    <w:rsid w:val="003D647D"/>
    <w:rsid w:val="003D69F7"/>
    <w:rsid w:val="003D6EB2"/>
    <w:rsid w:val="003D7071"/>
    <w:rsid w:val="003D766F"/>
    <w:rsid w:val="003D7C66"/>
    <w:rsid w:val="003E1657"/>
    <w:rsid w:val="003E31DA"/>
    <w:rsid w:val="003E381F"/>
    <w:rsid w:val="003E38DE"/>
    <w:rsid w:val="003E41B8"/>
    <w:rsid w:val="003E4987"/>
    <w:rsid w:val="003E682B"/>
    <w:rsid w:val="003F190B"/>
    <w:rsid w:val="003F2CF4"/>
    <w:rsid w:val="003F6376"/>
    <w:rsid w:val="003F78B1"/>
    <w:rsid w:val="003F7C1D"/>
    <w:rsid w:val="003F7EBB"/>
    <w:rsid w:val="0040016D"/>
    <w:rsid w:val="00400690"/>
    <w:rsid w:val="00400C9E"/>
    <w:rsid w:val="00400E1B"/>
    <w:rsid w:val="0040403F"/>
    <w:rsid w:val="004055C9"/>
    <w:rsid w:val="004057B4"/>
    <w:rsid w:val="00405AB1"/>
    <w:rsid w:val="00406AA9"/>
    <w:rsid w:val="0040747F"/>
    <w:rsid w:val="004101BE"/>
    <w:rsid w:val="0041088B"/>
    <w:rsid w:val="00410A7C"/>
    <w:rsid w:val="00413C87"/>
    <w:rsid w:val="00414F39"/>
    <w:rsid w:val="0041579F"/>
    <w:rsid w:val="00416A76"/>
    <w:rsid w:val="00416FA7"/>
    <w:rsid w:val="00416FB4"/>
    <w:rsid w:val="00417517"/>
    <w:rsid w:val="00417737"/>
    <w:rsid w:val="00417F02"/>
    <w:rsid w:val="004201D9"/>
    <w:rsid w:val="00420653"/>
    <w:rsid w:val="00420E91"/>
    <w:rsid w:val="00422423"/>
    <w:rsid w:val="00423C4A"/>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0824"/>
    <w:rsid w:val="0045109F"/>
    <w:rsid w:val="0045117A"/>
    <w:rsid w:val="00452AB5"/>
    <w:rsid w:val="00454A94"/>
    <w:rsid w:val="00456C6D"/>
    <w:rsid w:val="004570D0"/>
    <w:rsid w:val="004576A5"/>
    <w:rsid w:val="00457854"/>
    <w:rsid w:val="00460192"/>
    <w:rsid w:val="0046154B"/>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8371F"/>
    <w:rsid w:val="00483DC3"/>
    <w:rsid w:val="004874EB"/>
    <w:rsid w:val="00492DEB"/>
    <w:rsid w:val="00494A52"/>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1F90"/>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1DB9"/>
    <w:rsid w:val="004E3A68"/>
    <w:rsid w:val="004E40A6"/>
    <w:rsid w:val="004E41E0"/>
    <w:rsid w:val="004E4F6D"/>
    <w:rsid w:val="004E778B"/>
    <w:rsid w:val="004E7E7A"/>
    <w:rsid w:val="004F155E"/>
    <w:rsid w:val="004F18A7"/>
    <w:rsid w:val="004F3F3A"/>
    <w:rsid w:val="004F5875"/>
    <w:rsid w:val="004F61D7"/>
    <w:rsid w:val="004F62AE"/>
    <w:rsid w:val="004F6565"/>
    <w:rsid w:val="004F6A8A"/>
    <w:rsid w:val="004F7111"/>
    <w:rsid w:val="004F7378"/>
    <w:rsid w:val="005015A8"/>
    <w:rsid w:val="00502BC9"/>
    <w:rsid w:val="00503949"/>
    <w:rsid w:val="00503E48"/>
    <w:rsid w:val="00504D5B"/>
    <w:rsid w:val="005059B1"/>
    <w:rsid w:val="00506825"/>
    <w:rsid w:val="00507806"/>
    <w:rsid w:val="00510189"/>
    <w:rsid w:val="005136A7"/>
    <w:rsid w:val="005219AD"/>
    <w:rsid w:val="00521FC4"/>
    <w:rsid w:val="00523200"/>
    <w:rsid w:val="005238F9"/>
    <w:rsid w:val="00523BD5"/>
    <w:rsid w:val="00523E66"/>
    <w:rsid w:val="005262CC"/>
    <w:rsid w:val="0052684C"/>
    <w:rsid w:val="00526874"/>
    <w:rsid w:val="00527613"/>
    <w:rsid w:val="00532034"/>
    <w:rsid w:val="00532617"/>
    <w:rsid w:val="00533253"/>
    <w:rsid w:val="005335FD"/>
    <w:rsid w:val="005336CE"/>
    <w:rsid w:val="00536AD2"/>
    <w:rsid w:val="00540499"/>
    <w:rsid w:val="00540C77"/>
    <w:rsid w:val="0054224E"/>
    <w:rsid w:val="00542F95"/>
    <w:rsid w:val="00544386"/>
    <w:rsid w:val="00544F68"/>
    <w:rsid w:val="00545253"/>
    <w:rsid w:val="00546B3A"/>
    <w:rsid w:val="0055074D"/>
    <w:rsid w:val="00552762"/>
    <w:rsid w:val="00552C7D"/>
    <w:rsid w:val="00553C6E"/>
    <w:rsid w:val="0055643F"/>
    <w:rsid w:val="00557F80"/>
    <w:rsid w:val="00560445"/>
    <w:rsid w:val="005615ED"/>
    <w:rsid w:val="0056214B"/>
    <w:rsid w:val="0056335E"/>
    <w:rsid w:val="00563B0B"/>
    <w:rsid w:val="00564E02"/>
    <w:rsid w:val="00566246"/>
    <w:rsid w:val="00567586"/>
    <w:rsid w:val="00567A28"/>
    <w:rsid w:val="00570A81"/>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959D4"/>
    <w:rsid w:val="00595D9E"/>
    <w:rsid w:val="005A0077"/>
    <w:rsid w:val="005A2167"/>
    <w:rsid w:val="005A2255"/>
    <w:rsid w:val="005A324E"/>
    <w:rsid w:val="005A55A6"/>
    <w:rsid w:val="005A7B37"/>
    <w:rsid w:val="005B0633"/>
    <w:rsid w:val="005B0918"/>
    <w:rsid w:val="005B0E70"/>
    <w:rsid w:val="005B1889"/>
    <w:rsid w:val="005B1A0B"/>
    <w:rsid w:val="005B259E"/>
    <w:rsid w:val="005B3AE8"/>
    <w:rsid w:val="005B4712"/>
    <w:rsid w:val="005B5A93"/>
    <w:rsid w:val="005B641C"/>
    <w:rsid w:val="005C0E81"/>
    <w:rsid w:val="005C0F45"/>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3F66"/>
    <w:rsid w:val="006040A2"/>
    <w:rsid w:val="00606060"/>
    <w:rsid w:val="00606D8E"/>
    <w:rsid w:val="00610505"/>
    <w:rsid w:val="00610721"/>
    <w:rsid w:val="00610DF2"/>
    <w:rsid w:val="006124D2"/>
    <w:rsid w:val="00612EFD"/>
    <w:rsid w:val="00614084"/>
    <w:rsid w:val="0061521B"/>
    <w:rsid w:val="0061632A"/>
    <w:rsid w:val="006179D2"/>
    <w:rsid w:val="006233C2"/>
    <w:rsid w:val="00623F93"/>
    <w:rsid w:val="00624FDC"/>
    <w:rsid w:val="00625171"/>
    <w:rsid w:val="00625C6E"/>
    <w:rsid w:val="00626347"/>
    <w:rsid w:val="00627A0E"/>
    <w:rsid w:val="006303E7"/>
    <w:rsid w:val="00631D13"/>
    <w:rsid w:val="00635CB1"/>
    <w:rsid w:val="00636613"/>
    <w:rsid w:val="00637CA8"/>
    <w:rsid w:val="006406FC"/>
    <w:rsid w:val="00641FCF"/>
    <w:rsid w:val="006437C2"/>
    <w:rsid w:val="006451DB"/>
    <w:rsid w:val="0064551D"/>
    <w:rsid w:val="00647E20"/>
    <w:rsid w:val="0065160E"/>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4EF2"/>
    <w:rsid w:val="006A5358"/>
    <w:rsid w:val="006A611D"/>
    <w:rsid w:val="006A73FD"/>
    <w:rsid w:val="006A7C07"/>
    <w:rsid w:val="006B1AA3"/>
    <w:rsid w:val="006B1ED5"/>
    <w:rsid w:val="006B25D4"/>
    <w:rsid w:val="006B7CD9"/>
    <w:rsid w:val="006C050D"/>
    <w:rsid w:val="006C5C01"/>
    <w:rsid w:val="006C6ECF"/>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2499"/>
    <w:rsid w:val="006F51A6"/>
    <w:rsid w:val="006F5401"/>
    <w:rsid w:val="006F7B5F"/>
    <w:rsid w:val="006F7DA1"/>
    <w:rsid w:val="0070105C"/>
    <w:rsid w:val="00705490"/>
    <w:rsid w:val="00706AE4"/>
    <w:rsid w:val="00706C79"/>
    <w:rsid w:val="00706E1B"/>
    <w:rsid w:val="0071045F"/>
    <w:rsid w:val="007117E8"/>
    <w:rsid w:val="00714BE0"/>
    <w:rsid w:val="00715B3D"/>
    <w:rsid w:val="007160C8"/>
    <w:rsid w:val="0072135F"/>
    <w:rsid w:val="007218E7"/>
    <w:rsid w:val="00722247"/>
    <w:rsid w:val="00722628"/>
    <w:rsid w:val="00722C51"/>
    <w:rsid w:val="0072646B"/>
    <w:rsid w:val="007266D3"/>
    <w:rsid w:val="00732773"/>
    <w:rsid w:val="00733139"/>
    <w:rsid w:val="00734B3F"/>
    <w:rsid w:val="007353DE"/>
    <w:rsid w:val="00737C46"/>
    <w:rsid w:val="00740251"/>
    <w:rsid w:val="00741C67"/>
    <w:rsid w:val="00742259"/>
    <w:rsid w:val="00752617"/>
    <w:rsid w:val="007540B3"/>
    <w:rsid w:val="0075617E"/>
    <w:rsid w:val="00756739"/>
    <w:rsid w:val="00757DE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778C9"/>
    <w:rsid w:val="00780EC1"/>
    <w:rsid w:val="007830AE"/>
    <w:rsid w:val="00784B4D"/>
    <w:rsid w:val="00785762"/>
    <w:rsid w:val="007864C8"/>
    <w:rsid w:val="007870B9"/>
    <w:rsid w:val="00787268"/>
    <w:rsid w:val="0079085C"/>
    <w:rsid w:val="00790F0F"/>
    <w:rsid w:val="00792463"/>
    <w:rsid w:val="00792472"/>
    <w:rsid w:val="007927BA"/>
    <w:rsid w:val="00792F8D"/>
    <w:rsid w:val="00794AB4"/>
    <w:rsid w:val="00795A3D"/>
    <w:rsid w:val="007A020D"/>
    <w:rsid w:val="007A6BD4"/>
    <w:rsid w:val="007B253A"/>
    <w:rsid w:val="007B296F"/>
    <w:rsid w:val="007B3B1E"/>
    <w:rsid w:val="007B5BAB"/>
    <w:rsid w:val="007B64AB"/>
    <w:rsid w:val="007C0872"/>
    <w:rsid w:val="007C1871"/>
    <w:rsid w:val="007C1C58"/>
    <w:rsid w:val="007C3850"/>
    <w:rsid w:val="007C3C5E"/>
    <w:rsid w:val="007C3DD7"/>
    <w:rsid w:val="007C3F3B"/>
    <w:rsid w:val="007C404F"/>
    <w:rsid w:val="007C4CE7"/>
    <w:rsid w:val="007C79CD"/>
    <w:rsid w:val="007D145D"/>
    <w:rsid w:val="007D1D12"/>
    <w:rsid w:val="007D42D4"/>
    <w:rsid w:val="007E0F92"/>
    <w:rsid w:val="007E140A"/>
    <w:rsid w:val="007E536B"/>
    <w:rsid w:val="007E5CE4"/>
    <w:rsid w:val="007E603E"/>
    <w:rsid w:val="007E6EFD"/>
    <w:rsid w:val="007E742D"/>
    <w:rsid w:val="007E744A"/>
    <w:rsid w:val="007F07B0"/>
    <w:rsid w:val="007F0D36"/>
    <w:rsid w:val="007F5DC8"/>
    <w:rsid w:val="007F666E"/>
    <w:rsid w:val="007F6813"/>
    <w:rsid w:val="007F773E"/>
    <w:rsid w:val="00800F9C"/>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4635C"/>
    <w:rsid w:val="00847C86"/>
    <w:rsid w:val="008508C3"/>
    <w:rsid w:val="00852005"/>
    <w:rsid w:val="0085387B"/>
    <w:rsid w:val="00853BC9"/>
    <w:rsid w:val="00853E3A"/>
    <w:rsid w:val="00854C63"/>
    <w:rsid w:val="00855D67"/>
    <w:rsid w:val="00856B21"/>
    <w:rsid w:val="0086227A"/>
    <w:rsid w:val="008625FB"/>
    <w:rsid w:val="00862A5B"/>
    <w:rsid w:val="00864654"/>
    <w:rsid w:val="00866A57"/>
    <w:rsid w:val="00871BA6"/>
    <w:rsid w:val="00872051"/>
    <w:rsid w:val="00874E94"/>
    <w:rsid w:val="00876569"/>
    <w:rsid w:val="00877A83"/>
    <w:rsid w:val="008806C2"/>
    <w:rsid w:val="00880DC2"/>
    <w:rsid w:val="00881406"/>
    <w:rsid w:val="00881CAD"/>
    <w:rsid w:val="0088243B"/>
    <w:rsid w:val="0088562A"/>
    <w:rsid w:val="00886CC5"/>
    <w:rsid w:val="00890F6D"/>
    <w:rsid w:val="00892334"/>
    <w:rsid w:val="008950D5"/>
    <w:rsid w:val="0089636A"/>
    <w:rsid w:val="008963E5"/>
    <w:rsid w:val="00897B6E"/>
    <w:rsid w:val="008A1BD8"/>
    <w:rsid w:val="008A1EA6"/>
    <w:rsid w:val="008A2C08"/>
    <w:rsid w:val="008A3666"/>
    <w:rsid w:val="008A3772"/>
    <w:rsid w:val="008A7796"/>
    <w:rsid w:val="008B13CF"/>
    <w:rsid w:val="008B286B"/>
    <w:rsid w:val="008B28CE"/>
    <w:rsid w:val="008B3407"/>
    <w:rsid w:val="008B3CB3"/>
    <w:rsid w:val="008B5252"/>
    <w:rsid w:val="008B7C9E"/>
    <w:rsid w:val="008C082C"/>
    <w:rsid w:val="008C0AE3"/>
    <w:rsid w:val="008C1BBA"/>
    <w:rsid w:val="008C5776"/>
    <w:rsid w:val="008C5E9C"/>
    <w:rsid w:val="008C669D"/>
    <w:rsid w:val="008C7BA9"/>
    <w:rsid w:val="008D280E"/>
    <w:rsid w:val="008D3F93"/>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176B1"/>
    <w:rsid w:val="0091779E"/>
    <w:rsid w:val="0092049E"/>
    <w:rsid w:val="00923496"/>
    <w:rsid w:val="009256B7"/>
    <w:rsid w:val="00930141"/>
    <w:rsid w:val="00930CE8"/>
    <w:rsid w:val="00933BDF"/>
    <w:rsid w:val="009347A7"/>
    <w:rsid w:val="00937062"/>
    <w:rsid w:val="0094032D"/>
    <w:rsid w:val="009407F0"/>
    <w:rsid w:val="009420BB"/>
    <w:rsid w:val="009424CD"/>
    <w:rsid w:val="00943184"/>
    <w:rsid w:val="00944409"/>
    <w:rsid w:val="009450C6"/>
    <w:rsid w:val="00946D10"/>
    <w:rsid w:val="0095089B"/>
    <w:rsid w:val="00951EA9"/>
    <w:rsid w:val="00952609"/>
    <w:rsid w:val="009534A1"/>
    <w:rsid w:val="009555B0"/>
    <w:rsid w:val="00957D47"/>
    <w:rsid w:val="0096164D"/>
    <w:rsid w:val="00962B5C"/>
    <w:rsid w:val="0096354C"/>
    <w:rsid w:val="00964015"/>
    <w:rsid w:val="00964426"/>
    <w:rsid w:val="00970D5D"/>
    <w:rsid w:val="009731CE"/>
    <w:rsid w:val="00973562"/>
    <w:rsid w:val="00974610"/>
    <w:rsid w:val="00975BA7"/>
    <w:rsid w:val="009779AA"/>
    <w:rsid w:val="009804F3"/>
    <w:rsid w:val="009812B3"/>
    <w:rsid w:val="009831D8"/>
    <w:rsid w:val="00983F64"/>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0BF6"/>
    <w:rsid w:val="009B1567"/>
    <w:rsid w:val="009B2668"/>
    <w:rsid w:val="009B34E0"/>
    <w:rsid w:val="009B353D"/>
    <w:rsid w:val="009B6A36"/>
    <w:rsid w:val="009B6D71"/>
    <w:rsid w:val="009B7460"/>
    <w:rsid w:val="009C136B"/>
    <w:rsid w:val="009C2886"/>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9F6BCC"/>
    <w:rsid w:val="00A00C83"/>
    <w:rsid w:val="00A011B1"/>
    <w:rsid w:val="00A02162"/>
    <w:rsid w:val="00A02383"/>
    <w:rsid w:val="00A02439"/>
    <w:rsid w:val="00A02599"/>
    <w:rsid w:val="00A03051"/>
    <w:rsid w:val="00A04221"/>
    <w:rsid w:val="00A06864"/>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4845"/>
    <w:rsid w:val="00A45579"/>
    <w:rsid w:val="00A47131"/>
    <w:rsid w:val="00A47308"/>
    <w:rsid w:val="00A47EA2"/>
    <w:rsid w:val="00A526EA"/>
    <w:rsid w:val="00A53502"/>
    <w:rsid w:val="00A5491E"/>
    <w:rsid w:val="00A55B1B"/>
    <w:rsid w:val="00A573A7"/>
    <w:rsid w:val="00A60845"/>
    <w:rsid w:val="00A622F8"/>
    <w:rsid w:val="00A62FFB"/>
    <w:rsid w:val="00A65366"/>
    <w:rsid w:val="00A656D7"/>
    <w:rsid w:val="00A66501"/>
    <w:rsid w:val="00A66519"/>
    <w:rsid w:val="00A66BDA"/>
    <w:rsid w:val="00A70CCF"/>
    <w:rsid w:val="00A72240"/>
    <w:rsid w:val="00A731DA"/>
    <w:rsid w:val="00A735C8"/>
    <w:rsid w:val="00A735FE"/>
    <w:rsid w:val="00A741DC"/>
    <w:rsid w:val="00A76236"/>
    <w:rsid w:val="00A76976"/>
    <w:rsid w:val="00A76BD9"/>
    <w:rsid w:val="00A76F0F"/>
    <w:rsid w:val="00A805FF"/>
    <w:rsid w:val="00A81ACF"/>
    <w:rsid w:val="00A8263D"/>
    <w:rsid w:val="00A82BDE"/>
    <w:rsid w:val="00A835ED"/>
    <w:rsid w:val="00A83E2A"/>
    <w:rsid w:val="00A8461E"/>
    <w:rsid w:val="00A90CFD"/>
    <w:rsid w:val="00A910B8"/>
    <w:rsid w:val="00A921C7"/>
    <w:rsid w:val="00A92519"/>
    <w:rsid w:val="00A93031"/>
    <w:rsid w:val="00A93E0A"/>
    <w:rsid w:val="00AA1DDD"/>
    <w:rsid w:val="00AA2F30"/>
    <w:rsid w:val="00AA5A47"/>
    <w:rsid w:val="00AA710E"/>
    <w:rsid w:val="00AB0E52"/>
    <w:rsid w:val="00AB3720"/>
    <w:rsid w:val="00AB4DC2"/>
    <w:rsid w:val="00AB56BE"/>
    <w:rsid w:val="00AB5C50"/>
    <w:rsid w:val="00AB64B7"/>
    <w:rsid w:val="00AB6D66"/>
    <w:rsid w:val="00AC0F46"/>
    <w:rsid w:val="00AC2526"/>
    <w:rsid w:val="00AC2A14"/>
    <w:rsid w:val="00AC2DC3"/>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AF675A"/>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0E70"/>
    <w:rsid w:val="00B34A7B"/>
    <w:rsid w:val="00B34B4D"/>
    <w:rsid w:val="00B34DEA"/>
    <w:rsid w:val="00B3507E"/>
    <w:rsid w:val="00B358F0"/>
    <w:rsid w:val="00B3746E"/>
    <w:rsid w:val="00B374F1"/>
    <w:rsid w:val="00B414A4"/>
    <w:rsid w:val="00B423DA"/>
    <w:rsid w:val="00B42FA9"/>
    <w:rsid w:val="00B43367"/>
    <w:rsid w:val="00B44BBB"/>
    <w:rsid w:val="00B45303"/>
    <w:rsid w:val="00B4615E"/>
    <w:rsid w:val="00B478D5"/>
    <w:rsid w:val="00B47BAA"/>
    <w:rsid w:val="00B51104"/>
    <w:rsid w:val="00B52B2B"/>
    <w:rsid w:val="00B53197"/>
    <w:rsid w:val="00B53E52"/>
    <w:rsid w:val="00B54832"/>
    <w:rsid w:val="00B57FE0"/>
    <w:rsid w:val="00B6140F"/>
    <w:rsid w:val="00B61A5B"/>
    <w:rsid w:val="00B6278E"/>
    <w:rsid w:val="00B639BC"/>
    <w:rsid w:val="00B65F24"/>
    <w:rsid w:val="00B66816"/>
    <w:rsid w:val="00B671A5"/>
    <w:rsid w:val="00B72F6F"/>
    <w:rsid w:val="00B755F1"/>
    <w:rsid w:val="00B778ED"/>
    <w:rsid w:val="00B82E97"/>
    <w:rsid w:val="00B83432"/>
    <w:rsid w:val="00B84A24"/>
    <w:rsid w:val="00B86345"/>
    <w:rsid w:val="00B8661E"/>
    <w:rsid w:val="00B87C75"/>
    <w:rsid w:val="00B9087E"/>
    <w:rsid w:val="00B908A9"/>
    <w:rsid w:val="00B94F9A"/>
    <w:rsid w:val="00B95616"/>
    <w:rsid w:val="00B95EFA"/>
    <w:rsid w:val="00BA10DF"/>
    <w:rsid w:val="00BA1272"/>
    <w:rsid w:val="00BA185C"/>
    <w:rsid w:val="00BA1E56"/>
    <w:rsid w:val="00BA6363"/>
    <w:rsid w:val="00BA6890"/>
    <w:rsid w:val="00BA73EA"/>
    <w:rsid w:val="00BB3750"/>
    <w:rsid w:val="00BB4FFF"/>
    <w:rsid w:val="00BB70AE"/>
    <w:rsid w:val="00BC13F1"/>
    <w:rsid w:val="00BC1C43"/>
    <w:rsid w:val="00BC2688"/>
    <w:rsid w:val="00BC277B"/>
    <w:rsid w:val="00BC2FFE"/>
    <w:rsid w:val="00BC3198"/>
    <w:rsid w:val="00BC58A1"/>
    <w:rsid w:val="00BC5D95"/>
    <w:rsid w:val="00BC5E82"/>
    <w:rsid w:val="00BD175D"/>
    <w:rsid w:val="00BD319A"/>
    <w:rsid w:val="00BD6ED4"/>
    <w:rsid w:val="00BE12D7"/>
    <w:rsid w:val="00BE1438"/>
    <w:rsid w:val="00BE3A68"/>
    <w:rsid w:val="00BE3C41"/>
    <w:rsid w:val="00BE403F"/>
    <w:rsid w:val="00BE42B4"/>
    <w:rsid w:val="00BE43FB"/>
    <w:rsid w:val="00BE487B"/>
    <w:rsid w:val="00BE4F8D"/>
    <w:rsid w:val="00BE604A"/>
    <w:rsid w:val="00BE6885"/>
    <w:rsid w:val="00BF055E"/>
    <w:rsid w:val="00BF1884"/>
    <w:rsid w:val="00BF687D"/>
    <w:rsid w:val="00BF7E3F"/>
    <w:rsid w:val="00C01DE1"/>
    <w:rsid w:val="00C01F24"/>
    <w:rsid w:val="00C06DB3"/>
    <w:rsid w:val="00C0741B"/>
    <w:rsid w:val="00C11068"/>
    <w:rsid w:val="00C12870"/>
    <w:rsid w:val="00C132BD"/>
    <w:rsid w:val="00C13784"/>
    <w:rsid w:val="00C1414C"/>
    <w:rsid w:val="00C16AFC"/>
    <w:rsid w:val="00C17C4A"/>
    <w:rsid w:val="00C22F2C"/>
    <w:rsid w:val="00C23179"/>
    <w:rsid w:val="00C23508"/>
    <w:rsid w:val="00C244ED"/>
    <w:rsid w:val="00C24EAB"/>
    <w:rsid w:val="00C27C8B"/>
    <w:rsid w:val="00C27D94"/>
    <w:rsid w:val="00C3031E"/>
    <w:rsid w:val="00C31123"/>
    <w:rsid w:val="00C311F0"/>
    <w:rsid w:val="00C33435"/>
    <w:rsid w:val="00C34C9D"/>
    <w:rsid w:val="00C360C2"/>
    <w:rsid w:val="00C360ED"/>
    <w:rsid w:val="00C36321"/>
    <w:rsid w:val="00C36DB8"/>
    <w:rsid w:val="00C36E11"/>
    <w:rsid w:val="00C401EC"/>
    <w:rsid w:val="00C40CAB"/>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8D"/>
    <w:rsid w:val="00C67C95"/>
    <w:rsid w:val="00C72451"/>
    <w:rsid w:val="00C72BA8"/>
    <w:rsid w:val="00C73761"/>
    <w:rsid w:val="00C76A53"/>
    <w:rsid w:val="00C77FBF"/>
    <w:rsid w:val="00C810CF"/>
    <w:rsid w:val="00C815EB"/>
    <w:rsid w:val="00C81905"/>
    <w:rsid w:val="00C81BB4"/>
    <w:rsid w:val="00C81C1B"/>
    <w:rsid w:val="00C83C0F"/>
    <w:rsid w:val="00C847DE"/>
    <w:rsid w:val="00C8586B"/>
    <w:rsid w:val="00C87391"/>
    <w:rsid w:val="00C87CA0"/>
    <w:rsid w:val="00C87E27"/>
    <w:rsid w:val="00C923EB"/>
    <w:rsid w:val="00C924D6"/>
    <w:rsid w:val="00C942CD"/>
    <w:rsid w:val="00C947AC"/>
    <w:rsid w:val="00C96D29"/>
    <w:rsid w:val="00C97D20"/>
    <w:rsid w:val="00CA008A"/>
    <w:rsid w:val="00CA333E"/>
    <w:rsid w:val="00CA3C0E"/>
    <w:rsid w:val="00CA43BA"/>
    <w:rsid w:val="00CA5586"/>
    <w:rsid w:val="00CA7412"/>
    <w:rsid w:val="00CA77DD"/>
    <w:rsid w:val="00CB0BF5"/>
    <w:rsid w:val="00CB2BDF"/>
    <w:rsid w:val="00CB2DAD"/>
    <w:rsid w:val="00CB38DB"/>
    <w:rsid w:val="00CB3BC1"/>
    <w:rsid w:val="00CB62EA"/>
    <w:rsid w:val="00CC0635"/>
    <w:rsid w:val="00CC1239"/>
    <w:rsid w:val="00CC1C41"/>
    <w:rsid w:val="00CC250F"/>
    <w:rsid w:val="00CC3095"/>
    <w:rsid w:val="00CC30B9"/>
    <w:rsid w:val="00CC3C7C"/>
    <w:rsid w:val="00CC4CA8"/>
    <w:rsid w:val="00CC77B3"/>
    <w:rsid w:val="00CD005E"/>
    <w:rsid w:val="00CD0C24"/>
    <w:rsid w:val="00CD12CE"/>
    <w:rsid w:val="00CD12F5"/>
    <w:rsid w:val="00CD14B9"/>
    <w:rsid w:val="00CD1B70"/>
    <w:rsid w:val="00CD24B4"/>
    <w:rsid w:val="00CD2C11"/>
    <w:rsid w:val="00CD2CBF"/>
    <w:rsid w:val="00CD4433"/>
    <w:rsid w:val="00CD569B"/>
    <w:rsid w:val="00CD7718"/>
    <w:rsid w:val="00CD7AC1"/>
    <w:rsid w:val="00CE2BC0"/>
    <w:rsid w:val="00CE2F66"/>
    <w:rsid w:val="00CE4B07"/>
    <w:rsid w:val="00CE7A05"/>
    <w:rsid w:val="00CF02AF"/>
    <w:rsid w:val="00CF1BF9"/>
    <w:rsid w:val="00CF1C7B"/>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26A9"/>
    <w:rsid w:val="00D36771"/>
    <w:rsid w:val="00D3691A"/>
    <w:rsid w:val="00D37D79"/>
    <w:rsid w:val="00D4044D"/>
    <w:rsid w:val="00D41B44"/>
    <w:rsid w:val="00D4535C"/>
    <w:rsid w:val="00D455D2"/>
    <w:rsid w:val="00D459CC"/>
    <w:rsid w:val="00D45B8F"/>
    <w:rsid w:val="00D5037A"/>
    <w:rsid w:val="00D503EA"/>
    <w:rsid w:val="00D515A4"/>
    <w:rsid w:val="00D51BF0"/>
    <w:rsid w:val="00D521C2"/>
    <w:rsid w:val="00D52E91"/>
    <w:rsid w:val="00D55202"/>
    <w:rsid w:val="00D5651B"/>
    <w:rsid w:val="00D56B22"/>
    <w:rsid w:val="00D601A0"/>
    <w:rsid w:val="00D62F71"/>
    <w:rsid w:val="00D63234"/>
    <w:rsid w:val="00D650C3"/>
    <w:rsid w:val="00D66F81"/>
    <w:rsid w:val="00D7237A"/>
    <w:rsid w:val="00D72C94"/>
    <w:rsid w:val="00D72EE0"/>
    <w:rsid w:val="00D743BF"/>
    <w:rsid w:val="00D746A4"/>
    <w:rsid w:val="00D74936"/>
    <w:rsid w:val="00D76F1D"/>
    <w:rsid w:val="00D77543"/>
    <w:rsid w:val="00D804CC"/>
    <w:rsid w:val="00D84B0D"/>
    <w:rsid w:val="00D8524F"/>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195A"/>
    <w:rsid w:val="00DD2FA3"/>
    <w:rsid w:val="00DD457E"/>
    <w:rsid w:val="00DD46A0"/>
    <w:rsid w:val="00DD49DF"/>
    <w:rsid w:val="00DD5792"/>
    <w:rsid w:val="00DD6077"/>
    <w:rsid w:val="00DD6701"/>
    <w:rsid w:val="00DD7C69"/>
    <w:rsid w:val="00DE2662"/>
    <w:rsid w:val="00DE48B7"/>
    <w:rsid w:val="00DE4CF7"/>
    <w:rsid w:val="00DE71DC"/>
    <w:rsid w:val="00DE75B3"/>
    <w:rsid w:val="00DE7966"/>
    <w:rsid w:val="00DF2084"/>
    <w:rsid w:val="00DF23A1"/>
    <w:rsid w:val="00DF32F8"/>
    <w:rsid w:val="00DF39F7"/>
    <w:rsid w:val="00DF61B0"/>
    <w:rsid w:val="00DF62C0"/>
    <w:rsid w:val="00DF6C0E"/>
    <w:rsid w:val="00DF6D98"/>
    <w:rsid w:val="00DF78DE"/>
    <w:rsid w:val="00E00321"/>
    <w:rsid w:val="00E01B89"/>
    <w:rsid w:val="00E0218D"/>
    <w:rsid w:val="00E02E16"/>
    <w:rsid w:val="00E03255"/>
    <w:rsid w:val="00E0425A"/>
    <w:rsid w:val="00E07470"/>
    <w:rsid w:val="00E07A34"/>
    <w:rsid w:val="00E07EED"/>
    <w:rsid w:val="00E1004A"/>
    <w:rsid w:val="00E112D9"/>
    <w:rsid w:val="00E12385"/>
    <w:rsid w:val="00E16335"/>
    <w:rsid w:val="00E163CC"/>
    <w:rsid w:val="00E16E9D"/>
    <w:rsid w:val="00E236EA"/>
    <w:rsid w:val="00E25D1E"/>
    <w:rsid w:val="00E307E8"/>
    <w:rsid w:val="00E308F4"/>
    <w:rsid w:val="00E30DC8"/>
    <w:rsid w:val="00E316AF"/>
    <w:rsid w:val="00E319DE"/>
    <w:rsid w:val="00E33A22"/>
    <w:rsid w:val="00E351D9"/>
    <w:rsid w:val="00E41114"/>
    <w:rsid w:val="00E41968"/>
    <w:rsid w:val="00E449DD"/>
    <w:rsid w:val="00E44DC0"/>
    <w:rsid w:val="00E4534D"/>
    <w:rsid w:val="00E45809"/>
    <w:rsid w:val="00E45ECA"/>
    <w:rsid w:val="00E4601E"/>
    <w:rsid w:val="00E466F0"/>
    <w:rsid w:val="00E47486"/>
    <w:rsid w:val="00E54A67"/>
    <w:rsid w:val="00E550FC"/>
    <w:rsid w:val="00E55335"/>
    <w:rsid w:val="00E55D8B"/>
    <w:rsid w:val="00E5681A"/>
    <w:rsid w:val="00E56FB7"/>
    <w:rsid w:val="00E57B46"/>
    <w:rsid w:val="00E601C4"/>
    <w:rsid w:val="00E6046B"/>
    <w:rsid w:val="00E60C45"/>
    <w:rsid w:val="00E612C2"/>
    <w:rsid w:val="00E61528"/>
    <w:rsid w:val="00E6260F"/>
    <w:rsid w:val="00E62E97"/>
    <w:rsid w:val="00E63A7D"/>
    <w:rsid w:val="00E64543"/>
    <w:rsid w:val="00E65984"/>
    <w:rsid w:val="00E65FEB"/>
    <w:rsid w:val="00E666AB"/>
    <w:rsid w:val="00E66DA0"/>
    <w:rsid w:val="00E70D34"/>
    <w:rsid w:val="00E71969"/>
    <w:rsid w:val="00E71EDE"/>
    <w:rsid w:val="00E736B0"/>
    <w:rsid w:val="00E73700"/>
    <w:rsid w:val="00E74444"/>
    <w:rsid w:val="00E76A76"/>
    <w:rsid w:val="00E81435"/>
    <w:rsid w:val="00E8279A"/>
    <w:rsid w:val="00E82F08"/>
    <w:rsid w:val="00E83607"/>
    <w:rsid w:val="00E86C0E"/>
    <w:rsid w:val="00E90562"/>
    <w:rsid w:val="00E9137E"/>
    <w:rsid w:val="00E91A48"/>
    <w:rsid w:val="00E92CAD"/>
    <w:rsid w:val="00E9381F"/>
    <w:rsid w:val="00E95127"/>
    <w:rsid w:val="00E971D4"/>
    <w:rsid w:val="00E979A4"/>
    <w:rsid w:val="00E97E54"/>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1820"/>
    <w:rsid w:val="00EC2389"/>
    <w:rsid w:val="00EC2AAB"/>
    <w:rsid w:val="00EC452B"/>
    <w:rsid w:val="00EC71A3"/>
    <w:rsid w:val="00ED38BA"/>
    <w:rsid w:val="00ED40AD"/>
    <w:rsid w:val="00ED6C16"/>
    <w:rsid w:val="00ED6F3F"/>
    <w:rsid w:val="00ED702F"/>
    <w:rsid w:val="00EE1061"/>
    <w:rsid w:val="00EE27EB"/>
    <w:rsid w:val="00EE766E"/>
    <w:rsid w:val="00EE797B"/>
    <w:rsid w:val="00EF051C"/>
    <w:rsid w:val="00EF1EDE"/>
    <w:rsid w:val="00EF6963"/>
    <w:rsid w:val="00F0075E"/>
    <w:rsid w:val="00F01C98"/>
    <w:rsid w:val="00F03494"/>
    <w:rsid w:val="00F04726"/>
    <w:rsid w:val="00F06AB7"/>
    <w:rsid w:val="00F06AB9"/>
    <w:rsid w:val="00F0787F"/>
    <w:rsid w:val="00F11EA0"/>
    <w:rsid w:val="00F133CF"/>
    <w:rsid w:val="00F143DB"/>
    <w:rsid w:val="00F149C2"/>
    <w:rsid w:val="00F14B01"/>
    <w:rsid w:val="00F16A38"/>
    <w:rsid w:val="00F16AC2"/>
    <w:rsid w:val="00F1745B"/>
    <w:rsid w:val="00F21BE9"/>
    <w:rsid w:val="00F21D2A"/>
    <w:rsid w:val="00F23738"/>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6BF"/>
    <w:rsid w:val="00F50D4B"/>
    <w:rsid w:val="00F51495"/>
    <w:rsid w:val="00F52FA7"/>
    <w:rsid w:val="00F534B9"/>
    <w:rsid w:val="00F567EC"/>
    <w:rsid w:val="00F6003E"/>
    <w:rsid w:val="00F601D1"/>
    <w:rsid w:val="00F622A7"/>
    <w:rsid w:val="00F63306"/>
    <w:rsid w:val="00F635E9"/>
    <w:rsid w:val="00F636B5"/>
    <w:rsid w:val="00F64353"/>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3B1"/>
    <w:rsid w:val="00F91686"/>
    <w:rsid w:val="00F918EE"/>
    <w:rsid w:val="00F91D75"/>
    <w:rsid w:val="00F94808"/>
    <w:rsid w:val="00FA21A7"/>
    <w:rsid w:val="00FA2A26"/>
    <w:rsid w:val="00FA4291"/>
    <w:rsid w:val="00FA4ADF"/>
    <w:rsid w:val="00FA56A5"/>
    <w:rsid w:val="00FB21B4"/>
    <w:rsid w:val="00FC0415"/>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D75F4"/>
    <w:rsid w:val="00FE0207"/>
    <w:rsid w:val="00FE1C35"/>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46305071">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572591742">
      <w:bodyDiv w:val="1"/>
      <w:marLeft w:val="0"/>
      <w:marRight w:val="0"/>
      <w:marTop w:val="0"/>
      <w:marBottom w:val="0"/>
      <w:divBdr>
        <w:top w:val="none" w:sz="0" w:space="0" w:color="auto"/>
        <w:left w:val="none" w:sz="0" w:space="0" w:color="auto"/>
        <w:bottom w:val="none" w:sz="0" w:space="0" w:color="auto"/>
        <w:right w:val="none" w:sz="0" w:space="0" w:color="auto"/>
      </w:divBdr>
    </w:div>
    <w:div w:id="611472001">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782457603">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899831496">
      <w:bodyDiv w:val="1"/>
      <w:marLeft w:val="0"/>
      <w:marRight w:val="0"/>
      <w:marTop w:val="0"/>
      <w:marBottom w:val="0"/>
      <w:divBdr>
        <w:top w:val="none" w:sz="0" w:space="0" w:color="auto"/>
        <w:left w:val="none" w:sz="0" w:space="0" w:color="auto"/>
        <w:bottom w:val="none" w:sz="0" w:space="0" w:color="auto"/>
        <w:right w:val="none" w:sz="0" w:space="0" w:color="auto"/>
      </w:divBdr>
    </w:div>
    <w:div w:id="91011529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06409983">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0691490">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358047561">
      <w:bodyDiv w:val="1"/>
      <w:marLeft w:val="0"/>
      <w:marRight w:val="0"/>
      <w:marTop w:val="0"/>
      <w:marBottom w:val="0"/>
      <w:divBdr>
        <w:top w:val="none" w:sz="0" w:space="0" w:color="auto"/>
        <w:left w:val="none" w:sz="0" w:space="0" w:color="auto"/>
        <w:bottom w:val="none" w:sz="0" w:space="0" w:color="auto"/>
        <w:right w:val="none" w:sz="0" w:space="0" w:color="auto"/>
      </w:divBdr>
    </w:div>
    <w:div w:id="1369181220">
      <w:bodyDiv w:val="1"/>
      <w:marLeft w:val="0"/>
      <w:marRight w:val="0"/>
      <w:marTop w:val="0"/>
      <w:marBottom w:val="0"/>
      <w:divBdr>
        <w:top w:val="none" w:sz="0" w:space="0" w:color="auto"/>
        <w:left w:val="none" w:sz="0" w:space="0" w:color="auto"/>
        <w:bottom w:val="none" w:sz="0" w:space="0" w:color="auto"/>
        <w:right w:val="none" w:sz="0" w:space="0" w:color="auto"/>
      </w:divBdr>
    </w:div>
    <w:div w:id="1377505658">
      <w:bodyDiv w:val="1"/>
      <w:marLeft w:val="0"/>
      <w:marRight w:val="0"/>
      <w:marTop w:val="0"/>
      <w:marBottom w:val="0"/>
      <w:divBdr>
        <w:top w:val="none" w:sz="0" w:space="0" w:color="auto"/>
        <w:left w:val="none" w:sz="0" w:space="0" w:color="auto"/>
        <w:bottom w:val="none" w:sz="0" w:space="0" w:color="auto"/>
        <w:right w:val="none" w:sz="0" w:space="0" w:color="auto"/>
      </w:divBdr>
    </w:div>
    <w:div w:id="1426029605">
      <w:bodyDiv w:val="1"/>
      <w:marLeft w:val="0"/>
      <w:marRight w:val="0"/>
      <w:marTop w:val="0"/>
      <w:marBottom w:val="0"/>
      <w:divBdr>
        <w:top w:val="none" w:sz="0" w:space="0" w:color="auto"/>
        <w:left w:val="none" w:sz="0" w:space="0" w:color="auto"/>
        <w:bottom w:val="none" w:sz="0" w:space="0" w:color="auto"/>
        <w:right w:val="none" w:sz="0" w:space="0" w:color="auto"/>
      </w:divBdr>
    </w:div>
    <w:div w:id="1445728442">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6816371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747190774">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885095831">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1970091770">
      <w:bodyDiv w:val="1"/>
      <w:marLeft w:val="0"/>
      <w:marRight w:val="0"/>
      <w:marTop w:val="0"/>
      <w:marBottom w:val="0"/>
      <w:divBdr>
        <w:top w:val="none" w:sz="0" w:space="0" w:color="auto"/>
        <w:left w:val="none" w:sz="0" w:space="0" w:color="auto"/>
        <w:bottom w:val="none" w:sz="0" w:space="0" w:color="auto"/>
        <w:right w:val="none" w:sz="0" w:space="0" w:color="auto"/>
      </w:divBdr>
    </w:div>
    <w:div w:id="1991909540">
      <w:bodyDiv w:val="1"/>
      <w:marLeft w:val="0"/>
      <w:marRight w:val="0"/>
      <w:marTop w:val="0"/>
      <w:marBottom w:val="0"/>
      <w:divBdr>
        <w:top w:val="none" w:sz="0" w:space="0" w:color="auto"/>
        <w:left w:val="none" w:sz="0" w:space="0" w:color="auto"/>
        <w:bottom w:val="none" w:sz="0" w:space="0" w:color="auto"/>
        <w:right w:val="none" w:sz="0" w:space="0" w:color="auto"/>
      </w:divBdr>
    </w:div>
    <w:div w:id="1996252879">
      <w:bodyDiv w:val="1"/>
      <w:marLeft w:val="0"/>
      <w:marRight w:val="0"/>
      <w:marTop w:val="0"/>
      <w:marBottom w:val="0"/>
      <w:divBdr>
        <w:top w:val="none" w:sz="0" w:space="0" w:color="auto"/>
        <w:left w:val="none" w:sz="0" w:space="0" w:color="auto"/>
        <w:bottom w:val="none" w:sz="0" w:space="0" w:color="auto"/>
        <w:right w:val="none" w:sz="0" w:space="0" w:color="auto"/>
      </w:divBdr>
    </w:div>
    <w:div w:id="2078671716">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3183A-987D-4044-A188-A69AEE360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58</cp:revision>
  <dcterms:created xsi:type="dcterms:W3CDTF">2020-05-22T12:59:00Z</dcterms:created>
  <dcterms:modified xsi:type="dcterms:W3CDTF">2020-05-29T19:06:00Z</dcterms:modified>
</cp:coreProperties>
</file>