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609976C" w:rsidR="00226288" w:rsidRPr="00226288" w:rsidRDefault="00226288" w:rsidP="00C16DEF">
      <w:pPr>
        <w:spacing w:line="480" w:lineRule="auto"/>
        <w:contextualSpacing/>
      </w:pPr>
      <w:r w:rsidRPr="00226288">
        <w:t xml:space="preserve">An </w:t>
      </w:r>
      <w:r w:rsidR="00081AC4">
        <w:t>Image</w:t>
      </w:r>
      <w:r w:rsidRPr="00226288">
        <w:t xml:space="preserve"> of the Future – </w:t>
      </w:r>
      <w:r w:rsidR="00C16AFC">
        <w:t>Entity 5</w:t>
      </w:r>
      <w:r w:rsidRPr="00226288">
        <w:t xml:space="preserve"> and Regional Service District </w:t>
      </w:r>
      <w:r w:rsidR="00081AC4">
        <w:t>1</w:t>
      </w:r>
    </w:p>
    <w:p w14:paraId="70CB123F" w14:textId="723CF399" w:rsidR="00226288" w:rsidRPr="00226288" w:rsidRDefault="00C16AFC" w:rsidP="003E72E2">
      <w:pPr>
        <w:jc w:val="both"/>
        <w:rPr>
          <w:rFonts w:eastAsia="Times New Roman"/>
        </w:rPr>
      </w:pPr>
      <w:r>
        <w:rPr>
          <w:rFonts w:eastAsia="Times New Roman"/>
          <w:noProof/>
          <w:lang w:val="en-CA" w:eastAsia="en-CA"/>
        </w:rPr>
        <w:drawing>
          <wp:anchor distT="0" distB="0" distL="114300" distR="114300" simplePos="0" relativeHeight="251660800" behindDoc="0" locked="0" layoutInCell="1" allowOverlap="1" wp14:anchorId="04D94468" wp14:editId="2E66DC1D">
            <wp:simplePos x="0" y="0"/>
            <wp:positionH relativeFrom="margin">
              <wp:posOffset>-51206</wp:posOffset>
            </wp:positionH>
            <wp:positionV relativeFrom="paragraph">
              <wp:posOffset>1205179</wp:posOffset>
            </wp:positionV>
            <wp:extent cx="3007242" cy="2926080"/>
            <wp:effectExtent l="0" t="0" r="3175" b="7620"/>
            <wp:wrapThrough wrapText="bothSides">
              <wp:wrapPolygon edited="0">
                <wp:start x="547" y="0"/>
                <wp:lineTo x="0" y="281"/>
                <wp:lineTo x="0" y="21375"/>
                <wp:lineTo x="547" y="21516"/>
                <wp:lineTo x="20939" y="21516"/>
                <wp:lineTo x="21486" y="21375"/>
                <wp:lineTo x="21486" y="281"/>
                <wp:lineTo x="20939" y="0"/>
                <wp:lineTo x="5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1833" t="37701" r="2960" b="2629"/>
                    <a:stretch/>
                  </pic:blipFill>
                  <pic:spPr bwMode="auto">
                    <a:xfrm>
                      <a:off x="0" y="0"/>
                      <a:ext cx="3012842" cy="29315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88" w:rsidRPr="00226288">
        <w:rPr>
          <w:rFonts w:eastAsia="Times New Roman"/>
        </w:rPr>
        <w:t xml:space="preserve">To illustrate the benefits of this new framework, take the example of </w:t>
      </w:r>
      <w:r>
        <w:rPr>
          <w:rFonts w:eastAsia="Times New Roman"/>
        </w:rPr>
        <w:t>Entity 5</w:t>
      </w:r>
      <w:r w:rsidR="006736F1">
        <w:rPr>
          <w:rFonts w:eastAsia="Times New Roman"/>
        </w:rPr>
        <w:t>.</w:t>
      </w:r>
      <w:r w:rsidR="00226288" w:rsidRPr="00226288">
        <w:rPr>
          <w:rFonts w:eastAsia="Times New Roman"/>
        </w:rPr>
        <w:t xml:space="preserve"> For the duration of this discussion the municipality shall be referred to as </w:t>
      </w:r>
      <w:r>
        <w:rPr>
          <w:rFonts w:eastAsia="Times New Roman"/>
        </w:rPr>
        <w:t>Entity 5</w:t>
      </w:r>
      <w:r w:rsidR="00226288" w:rsidRPr="00226288">
        <w:rPr>
          <w:rFonts w:eastAsia="Times New Roman"/>
        </w:rPr>
        <w:t xml:space="preserve">, as while the municipality could conceivably adopt </w:t>
      </w:r>
      <w:r w:rsidR="00E86C0E">
        <w:rPr>
          <w:rFonts w:eastAsia="Times New Roman"/>
        </w:rPr>
        <w:t>Plaster Rock, Perth-Andover, Lorne,</w:t>
      </w:r>
      <w:r w:rsidR="00EC452B">
        <w:rPr>
          <w:rFonts w:eastAsia="Times New Roman"/>
        </w:rPr>
        <w:t xml:space="preserve"> 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1"/>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2FD2C8E" w:rsidR="00226288" w:rsidRPr="00226288" w:rsidRDefault="00226288" w:rsidP="00226288">
      <w:pPr>
        <w:rPr>
          <w:b/>
          <w:bCs/>
        </w:rPr>
      </w:pPr>
      <w:r w:rsidRPr="00226288">
        <w:rPr>
          <w:rFonts w:eastAsia="Times New Roman"/>
          <w:b/>
          <w:bCs/>
        </w:rPr>
        <w:t>Geographic Boundaries</w:t>
      </w:r>
    </w:p>
    <w:p w14:paraId="77D2CE88" w14:textId="52F78889" w:rsidR="007C1C58" w:rsidRDefault="00C16AFC" w:rsidP="00226288">
      <w:pPr>
        <w:rPr>
          <w:szCs w:val="24"/>
        </w:rPr>
      </w:pPr>
      <w:r>
        <w:rPr>
          <w:szCs w:val="24"/>
        </w:rPr>
        <w:t>Entity 5</w:t>
      </w:r>
      <w:r w:rsidR="00D02067">
        <w:rPr>
          <w:szCs w:val="24"/>
        </w:rPr>
        <w:t xml:space="preserve"> would be comprised of </w:t>
      </w:r>
      <w:r w:rsidR="00EC452B">
        <w:rPr>
          <w:szCs w:val="24"/>
        </w:rPr>
        <w:t xml:space="preserve">the </w:t>
      </w:r>
      <w:r w:rsidR="003C47BF">
        <w:rPr>
          <w:szCs w:val="24"/>
        </w:rPr>
        <w:t>villages</w:t>
      </w:r>
      <w:r w:rsidR="00EC452B">
        <w:rPr>
          <w:szCs w:val="24"/>
        </w:rPr>
        <w:t xml:space="preserve"> of </w:t>
      </w:r>
      <w:r w:rsidR="003C47BF">
        <w:rPr>
          <w:szCs w:val="24"/>
        </w:rPr>
        <w:t xml:space="preserve">Aroostook, Perth-Andover, </w:t>
      </w:r>
      <w:r w:rsidR="00984D6A">
        <w:rPr>
          <w:szCs w:val="24"/>
        </w:rPr>
        <w:t>and Plaster Rock</w:t>
      </w:r>
      <w:r w:rsidR="009A2CEB">
        <w:rPr>
          <w:szCs w:val="24"/>
        </w:rPr>
        <w:t xml:space="preserve">, </w:t>
      </w:r>
      <w:r w:rsidR="00984D6A">
        <w:rPr>
          <w:szCs w:val="24"/>
        </w:rPr>
        <w:t xml:space="preserve">and the Denmark, Grand Falls, Andover, Perth, Gordon, </w:t>
      </w:r>
      <w:r w:rsidR="00C815EB">
        <w:rPr>
          <w:szCs w:val="24"/>
        </w:rPr>
        <w:t>Lorne, and Riley Brook LSDs.</w:t>
      </w:r>
      <w:r w:rsidR="009A2CEB">
        <w:rPr>
          <w:szCs w:val="24"/>
        </w:rPr>
        <w:t xml:space="preserve"> </w:t>
      </w:r>
      <w:r w:rsidR="007C1C58">
        <w:rPr>
          <w:szCs w:val="24"/>
        </w:rPr>
        <w:t xml:space="preserve">The municipal entity would stretch across </w:t>
      </w:r>
      <w:r w:rsidR="00C815EB">
        <w:rPr>
          <w:szCs w:val="24"/>
        </w:rPr>
        <w:t>The bottommost corner of Madawaska county.</w:t>
      </w:r>
      <w:r w:rsidR="007C1C58">
        <w:rPr>
          <w:szCs w:val="24"/>
        </w:rPr>
        <w:t xml:space="preserve"> Notably the boundaries of the proposed entity would not correlate with the old parish lines meaning the population estimates for </w:t>
      </w:r>
      <w:r w:rsidR="009A2CEB">
        <w:rPr>
          <w:szCs w:val="24"/>
        </w:rPr>
        <w:t xml:space="preserve">the </w:t>
      </w:r>
      <w:r w:rsidR="007C1C58">
        <w:rPr>
          <w:szCs w:val="24"/>
        </w:rPr>
        <w:t xml:space="preserve">following have </w:t>
      </w:r>
      <w:r w:rsidR="009A2CEB">
        <w:rPr>
          <w:szCs w:val="24"/>
        </w:rPr>
        <w:t>included</w:t>
      </w:r>
      <w:r w:rsidR="007C1C58">
        <w:rPr>
          <w:szCs w:val="24"/>
        </w:rPr>
        <w:t xml:space="preserve"> only the LSDs and municipalities with a significant portion of their area included in the proposed </w:t>
      </w:r>
      <w:r>
        <w:rPr>
          <w:szCs w:val="24"/>
        </w:rPr>
        <w:t>Entity 5</w:t>
      </w:r>
      <w:r w:rsidR="007C1C58">
        <w:rPr>
          <w:szCs w:val="24"/>
        </w:rPr>
        <w:t xml:space="preserve"> as the census data is still divided along existing administrative boundaries. </w:t>
      </w:r>
    </w:p>
    <w:tbl>
      <w:tblPr>
        <w:tblpPr w:leftFromText="180" w:rightFromText="180" w:vertAnchor="text" w:horzAnchor="margin" w:tblpXSpec="right" w:tblpY="349"/>
        <w:tblOverlap w:val="never"/>
        <w:tblW w:w="5796" w:type="dxa"/>
        <w:tblLook w:val="04A0" w:firstRow="1" w:lastRow="0" w:firstColumn="1" w:lastColumn="0" w:noHBand="0" w:noVBand="1"/>
      </w:tblPr>
      <w:tblGrid>
        <w:gridCol w:w="2531"/>
        <w:gridCol w:w="1634"/>
        <w:gridCol w:w="1631"/>
      </w:tblGrid>
      <w:tr w:rsidR="00554D0E" w:rsidRPr="00554D0E" w14:paraId="32C9F350" w14:textId="77777777" w:rsidTr="00554D0E">
        <w:trPr>
          <w:trHeight w:val="310"/>
        </w:trPr>
        <w:tc>
          <w:tcPr>
            <w:tcW w:w="5796" w:type="dxa"/>
            <w:gridSpan w:val="3"/>
            <w:tcBorders>
              <w:top w:val="nil"/>
              <w:left w:val="nil"/>
              <w:bottom w:val="single" w:sz="8" w:space="0" w:color="BFBFBF"/>
              <w:right w:val="nil"/>
            </w:tcBorders>
            <w:shd w:val="clear" w:color="auto" w:fill="auto"/>
            <w:noWrap/>
            <w:vAlign w:val="center"/>
            <w:hideMark/>
          </w:tcPr>
          <w:p w14:paraId="05DAB7CD" w14:textId="77777777" w:rsidR="00554D0E" w:rsidRPr="00554D0E" w:rsidRDefault="00554D0E" w:rsidP="00554D0E">
            <w:pPr>
              <w:spacing w:after="0" w:line="240" w:lineRule="auto"/>
              <w:jc w:val="center"/>
              <w:rPr>
                <w:rFonts w:eastAsia="Times New Roman"/>
                <w:b/>
                <w:bCs/>
                <w:color w:val="000000"/>
                <w:szCs w:val="24"/>
                <w:lang w:val="en-CA" w:eastAsia="en-CA"/>
              </w:rPr>
            </w:pPr>
            <w:r w:rsidRPr="00554D0E">
              <w:rPr>
                <w:rFonts w:eastAsia="Times New Roman"/>
                <w:b/>
                <w:bCs/>
                <w:color w:val="000000"/>
                <w:szCs w:val="24"/>
                <w:lang w:val="en-CA" w:eastAsia="en-CA"/>
              </w:rPr>
              <w:t>Voter Turnout by Existing Municipality</w:t>
            </w:r>
          </w:p>
        </w:tc>
      </w:tr>
      <w:tr w:rsidR="00554D0E" w:rsidRPr="00554D0E" w14:paraId="38A06FF8" w14:textId="77777777" w:rsidTr="00554D0E">
        <w:trPr>
          <w:trHeight w:val="970"/>
        </w:trPr>
        <w:tc>
          <w:tcPr>
            <w:tcW w:w="2531" w:type="dxa"/>
            <w:tcBorders>
              <w:top w:val="nil"/>
              <w:left w:val="nil"/>
              <w:bottom w:val="nil"/>
              <w:right w:val="nil"/>
            </w:tcBorders>
            <w:shd w:val="clear" w:color="4472C4" w:fill="4472C4"/>
            <w:vAlign w:val="center"/>
            <w:hideMark/>
          </w:tcPr>
          <w:p w14:paraId="0888149D" w14:textId="77777777" w:rsidR="00554D0E" w:rsidRPr="00554D0E" w:rsidRDefault="00554D0E" w:rsidP="00554D0E">
            <w:pPr>
              <w:spacing w:after="0" w:line="240" w:lineRule="auto"/>
              <w:jc w:val="center"/>
              <w:rPr>
                <w:rFonts w:eastAsia="Times New Roman"/>
                <w:b/>
                <w:bCs/>
                <w:color w:val="000000"/>
                <w:szCs w:val="24"/>
                <w:lang w:val="en-CA" w:eastAsia="en-CA"/>
              </w:rPr>
            </w:pPr>
            <w:r w:rsidRPr="00554D0E">
              <w:rPr>
                <w:rFonts w:eastAsia="Times New Roman"/>
                <w:b/>
                <w:bCs/>
                <w:color w:val="000000"/>
                <w:szCs w:val="24"/>
                <w:lang w:val="en-CA" w:eastAsia="en-CA"/>
              </w:rPr>
              <w:t>Municipality</w:t>
            </w:r>
          </w:p>
        </w:tc>
        <w:tc>
          <w:tcPr>
            <w:tcW w:w="1634" w:type="dxa"/>
            <w:tcBorders>
              <w:top w:val="nil"/>
              <w:left w:val="single" w:sz="4" w:space="0" w:color="FFFFFF"/>
              <w:bottom w:val="nil"/>
              <w:right w:val="nil"/>
            </w:tcBorders>
            <w:shd w:val="clear" w:color="4472C4" w:fill="4472C4"/>
            <w:hideMark/>
          </w:tcPr>
          <w:p w14:paraId="678B88A0" w14:textId="77777777" w:rsidR="00554D0E" w:rsidRPr="00554D0E" w:rsidRDefault="00554D0E" w:rsidP="00554D0E">
            <w:pPr>
              <w:spacing w:after="0" w:line="240" w:lineRule="auto"/>
              <w:jc w:val="center"/>
              <w:rPr>
                <w:rFonts w:eastAsia="Times New Roman"/>
                <w:b/>
                <w:bCs/>
                <w:color w:val="000000"/>
                <w:szCs w:val="24"/>
                <w:lang w:val="en-CA" w:eastAsia="en-CA"/>
              </w:rPr>
            </w:pPr>
            <w:r w:rsidRPr="00554D0E">
              <w:rPr>
                <w:rFonts w:eastAsia="Times New Roman"/>
                <w:b/>
                <w:bCs/>
                <w:color w:val="000000"/>
                <w:szCs w:val="24"/>
                <w:lang w:val="en-CA" w:eastAsia="en-CA"/>
              </w:rPr>
              <w:t>Voter Participation 2012</w:t>
            </w:r>
            <w:r w:rsidRPr="00554D0E">
              <w:rPr>
                <w:rFonts w:eastAsia="Times New Roman"/>
                <w:b/>
                <w:bCs/>
                <w:color w:val="000000"/>
                <w:szCs w:val="24"/>
                <w:vertAlign w:val="superscript"/>
                <w:lang w:val="en-CA" w:eastAsia="en-CA"/>
              </w:rPr>
              <w:t>1</w:t>
            </w:r>
          </w:p>
        </w:tc>
        <w:tc>
          <w:tcPr>
            <w:tcW w:w="1631" w:type="dxa"/>
            <w:tcBorders>
              <w:top w:val="nil"/>
              <w:left w:val="single" w:sz="4" w:space="0" w:color="FFFFFF"/>
              <w:bottom w:val="nil"/>
              <w:right w:val="nil"/>
            </w:tcBorders>
            <w:shd w:val="clear" w:color="4472C4" w:fill="4472C4"/>
            <w:hideMark/>
          </w:tcPr>
          <w:p w14:paraId="6F0547CD" w14:textId="77777777" w:rsidR="00554D0E" w:rsidRPr="00554D0E" w:rsidRDefault="00554D0E" w:rsidP="00554D0E">
            <w:pPr>
              <w:spacing w:after="0" w:line="240" w:lineRule="auto"/>
              <w:jc w:val="center"/>
              <w:rPr>
                <w:rFonts w:eastAsia="Times New Roman"/>
                <w:b/>
                <w:bCs/>
                <w:color w:val="000000"/>
                <w:szCs w:val="24"/>
                <w:lang w:val="en-CA" w:eastAsia="en-CA"/>
              </w:rPr>
            </w:pPr>
            <w:r w:rsidRPr="00554D0E">
              <w:rPr>
                <w:rFonts w:eastAsia="Times New Roman"/>
                <w:b/>
                <w:bCs/>
                <w:color w:val="000000"/>
                <w:szCs w:val="24"/>
                <w:lang w:val="en-CA" w:eastAsia="en-CA"/>
              </w:rPr>
              <w:t>Voter Participation 2016</w:t>
            </w:r>
          </w:p>
        </w:tc>
      </w:tr>
      <w:tr w:rsidR="00554D0E" w:rsidRPr="00554D0E" w14:paraId="2542E7A2" w14:textId="77777777" w:rsidTr="00554D0E">
        <w:trPr>
          <w:trHeight w:val="350"/>
        </w:trPr>
        <w:tc>
          <w:tcPr>
            <w:tcW w:w="2531" w:type="dxa"/>
            <w:tcBorders>
              <w:top w:val="single" w:sz="12" w:space="0" w:color="FFFFFF"/>
              <w:left w:val="nil"/>
              <w:bottom w:val="nil"/>
              <w:right w:val="nil"/>
            </w:tcBorders>
            <w:shd w:val="clear" w:color="B4C6E7" w:fill="B4C6E7"/>
            <w:noWrap/>
            <w:vAlign w:val="bottom"/>
            <w:hideMark/>
          </w:tcPr>
          <w:p w14:paraId="7DF45787" w14:textId="77777777" w:rsidR="00554D0E" w:rsidRPr="00554D0E" w:rsidRDefault="00554D0E" w:rsidP="00554D0E">
            <w:pPr>
              <w:spacing w:after="0" w:line="240" w:lineRule="auto"/>
              <w:rPr>
                <w:rFonts w:eastAsia="Times New Roman"/>
                <w:color w:val="000000"/>
                <w:szCs w:val="24"/>
                <w:lang w:val="en-CA" w:eastAsia="en-CA"/>
              </w:rPr>
            </w:pPr>
            <w:r w:rsidRPr="00554D0E">
              <w:rPr>
                <w:rFonts w:eastAsia="Times New Roman"/>
                <w:color w:val="000000"/>
                <w:szCs w:val="24"/>
                <w:lang w:val="en-CA" w:eastAsia="en-CA"/>
              </w:rPr>
              <w:t>Aroostook</w:t>
            </w:r>
          </w:p>
        </w:tc>
        <w:tc>
          <w:tcPr>
            <w:tcW w:w="1634" w:type="dxa"/>
            <w:tcBorders>
              <w:top w:val="single" w:sz="12" w:space="0" w:color="FFFFFF"/>
              <w:left w:val="single" w:sz="4" w:space="0" w:color="FFFFFF"/>
              <w:bottom w:val="nil"/>
              <w:right w:val="nil"/>
            </w:tcBorders>
            <w:shd w:val="clear" w:color="B4C6E7" w:fill="B4C6E7"/>
            <w:noWrap/>
            <w:vAlign w:val="bottom"/>
            <w:hideMark/>
          </w:tcPr>
          <w:p w14:paraId="21CEDF77"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acclaimed</w:t>
            </w:r>
          </w:p>
        </w:tc>
        <w:tc>
          <w:tcPr>
            <w:tcW w:w="1631" w:type="dxa"/>
            <w:tcBorders>
              <w:top w:val="single" w:sz="12" w:space="0" w:color="FFFFFF"/>
              <w:left w:val="single" w:sz="4" w:space="0" w:color="FFFFFF"/>
              <w:bottom w:val="nil"/>
              <w:right w:val="nil"/>
            </w:tcBorders>
            <w:shd w:val="clear" w:color="B4C6E7" w:fill="B4C6E7"/>
            <w:noWrap/>
            <w:vAlign w:val="bottom"/>
            <w:hideMark/>
          </w:tcPr>
          <w:p w14:paraId="185F90CE"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44.0%</w:t>
            </w:r>
          </w:p>
        </w:tc>
      </w:tr>
      <w:tr w:rsidR="00554D0E" w:rsidRPr="00554D0E" w14:paraId="3D98FD49" w14:textId="77777777" w:rsidTr="00554D0E">
        <w:trPr>
          <w:trHeight w:val="320"/>
        </w:trPr>
        <w:tc>
          <w:tcPr>
            <w:tcW w:w="2531" w:type="dxa"/>
            <w:tcBorders>
              <w:top w:val="single" w:sz="4" w:space="0" w:color="FFFFFF"/>
              <w:left w:val="nil"/>
              <w:bottom w:val="nil"/>
              <w:right w:val="nil"/>
            </w:tcBorders>
            <w:shd w:val="clear" w:color="D9E1F2" w:fill="D9E1F2"/>
            <w:noWrap/>
            <w:vAlign w:val="bottom"/>
            <w:hideMark/>
          </w:tcPr>
          <w:p w14:paraId="12BCFF8E" w14:textId="77777777" w:rsidR="00554D0E" w:rsidRPr="00554D0E" w:rsidRDefault="00554D0E" w:rsidP="00554D0E">
            <w:pPr>
              <w:spacing w:after="0" w:line="240" w:lineRule="auto"/>
              <w:rPr>
                <w:rFonts w:eastAsia="Times New Roman"/>
                <w:color w:val="000000"/>
                <w:szCs w:val="24"/>
                <w:lang w:val="en-CA" w:eastAsia="en-CA"/>
              </w:rPr>
            </w:pPr>
            <w:r w:rsidRPr="00554D0E">
              <w:rPr>
                <w:rFonts w:eastAsia="Times New Roman"/>
                <w:color w:val="000000"/>
                <w:szCs w:val="24"/>
                <w:lang w:val="en-CA" w:eastAsia="en-CA"/>
              </w:rPr>
              <w:t>Perth-Andover</w:t>
            </w:r>
          </w:p>
        </w:tc>
        <w:tc>
          <w:tcPr>
            <w:tcW w:w="1634" w:type="dxa"/>
            <w:tcBorders>
              <w:top w:val="single" w:sz="4" w:space="0" w:color="FFFFFF"/>
              <w:left w:val="single" w:sz="4" w:space="0" w:color="FFFFFF"/>
              <w:bottom w:val="nil"/>
              <w:right w:val="nil"/>
            </w:tcBorders>
            <w:shd w:val="clear" w:color="D9E1F2" w:fill="D9E1F2"/>
            <w:noWrap/>
            <w:vAlign w:val="bottom"/>
            <w:hideMark/>
          </w:tcPr>
          <w:p w14:paraId="77A4ABEC"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55.0%</w:t>
            </w:r>
          </w:p>
        </w:tc>
        <w:tc>
          <w:tcPr>
            <w:tcW w:w="1631" w:type="dxa"/>
            <w:tcBorders>
              <w:top w:val="single" w:sz="4" w:space="0" w:color="FFFFFF"/>
              <w:left w:val="single" w:sz="4" w:space="0" w:color="FFFFFF"/>
              <w:bottom w:val="nil"/>
              <w:right w:val="nil"/>
            </w:tcBorders>
            <w:shd w:val="clear" w:color="D9E1F2" w:fill="D9E1F2"/>
            <w:noWrap/>
            <w:vAlign w:val="bottom"/>
            <w:hideMark/>
          </w:tcPr>
          <w:p w14:paraId="03646590"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61.5%</w:t>
            </w:r>
          </w:p>
        </w:tc>
      </w:tr>
      <w:tr w:rsidR="00554D0E" w:rsidRPr="00554D0E" w14:paraId="72432BC0" w14:textId="77777777" w:rsidTr="00554D0E">
        <w:trPr>
          <w:trHeight w:val="310"/>
        </w:trPr>
        <w:tc>
          <w:tcPr>
            <w:tcW w:w="2531" w:type="dxa"/>
            <w:tcBorders>
              <w:top w:val="single" w:sz="4" w:space="0" w:color="FFFFFF"/>
              <w:left w:val="nil"/>
              <w:bottom w:val="nil"/>
              <w:right w:val="nil"/>
            </w:tcBorders>
            <w:shd w:val="clear" w:color="B4C6E7" w:fill="B4C6E7"/>
            <w:noWrap/>
            <w:vAlign w:val="bottom"/>
            <w:hideMark/>
          </w:tcPr>
          <w:p w14:paraId="3139A74C" w14:textId="77777777" w:rsidR="00554D0E" w:rsidRPr="00554D0E" w:rsidRDefault="00554D0E" w:rsidP="00554D0E">
            <w:pPr>
              <w:spacing w:after="0" w:line="240" w:lineRule="auto"/>
              <w:rPr>
                <w:rFonts w:eastAsia="Times New Roman"/>
                <w:color w:val="000000"/>
                <w:szCs w:val="24"/>
                <w:lang w:val="en-CA" w:eastAsia="en-CA"/>
              </w:rPr>
            </w:pPr>
            <w:r w:rsidRPr="00554D0E">
              <w:rPr>
                <w:rFonts w:eastAsia="Times New Roman"/>
                <w:color w:val="000000"/>
                <w:szCs w:val="24"/>
                <w:lang w:val="en-CA" w:eastAsia="en-CA"/>
              </w:rPr>
              <w:t>Plaster Rock</w:t>
            </w:r>
          </w:p>
        </w:tc>
        <w:tc>
          <w:tcPr>
            <w:tcW w:w="1634" w:type="dxa"/>
            <w:tcBorders>
              <w:top w:val="single" w:sz="4" w:space="0" w:color="FFFFFF"/>
              <w:left w:val="single" w:sz="4" w:space="0" w:color="FFFFFF"/>
              <w:bottom w:val="nil"/>
              <w:right w:val="nil"/>
            </w:tcBorders>
            <w:shd w:val="clear" w:color="B4C6E7" w:fill="B4C6E7"/>
            <w:noWrap/>
            <w:vAlign w:val="bottom"/>
            <w:hideMark/>
          </w:tcPr>
          <w:p w14:paraId="0BD3D6EB"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74.3%</w:t>
            </w:r>
          </w:p>
        </w:tc>
        <w:tc>
          <w:tcPr>
            <w:tcW w:w="1631" w:type="dxa"/>
            <w:tcBorders>
              <w:top w:val="single" w:sz="4" w:space="0" w:color="FFFFFF"/>
              <w:left w:val="single" w:sz="4" w:space="0" w:color="FFFFFF"/>
              <w:bottom w:val="nil"/>
              <w:right w:val="nil"/>
            </w:tcBorders>
            <w:shd w:val="clear" w:color="B4C6E7" w:fill="B4C6E7"/>
            <w:noWrap/>
            <w:vAlign w:val="bottom"/>
            <w:hideMark/>
          </w:tcPr>
          <w:p w14:paraId="58E8B3B6" w14:textId="77777777" w:rsidR="00554D0E" w:rsidRPr="00554D0E" w:rsidRDefault="00554D0E" w:rsidP="00554D0E">
            <w:pPr>
              <w:spacing w:after="0" w:line="240" w:lineRule="auto"/>
              <w:jc w:val="right"/>
              <w:rPr>
                <w:rFonts w:eastAsia="Times New Roman"/>
                <w:color w:val="000000"/>
                <w:szCs w:val="24"/>
                <w:lang w:val="en-CA" w:eastAsia="en-CA"/>
              </w:rPr>
            </w:pPr>
            <w:r w:rsidRPr="00554D0E">
              <w:rPr>
                <w:rFonts w:eastAsia="Times New Roman"/>
                <w:color w:val="000000"/>
                <w:szCs w:val="24"/>
                <w:lang w:val="en-CA" w:eastAsia="en-CA"/>
              </w:rPr>
              <w:t>75.5%</w:t>
            </w:r>
          </w:p>
        </w:tc>
      </w:tr>
      <w:tr w:rsidR="00554D0E" w:rsidRPr="00554D0E" w14:paraId="0BB67D65" w14:textId="77777777" w:rsidTr="00554D0E">
        <w:trPr>
          <w:trHeight w:val="310"/>
        </w:trPr>
        <w:tc>
          <w:tcPr>
            <w:tcW w:w="5796" w:type="dxa"/>
            <w:gridSpan w:val="3"/>
            <w:tcBorders>
              <w:top w:val="nil"/>
              <w:left w:val="nil"/>
              <w:bottom w:val="nil"/>
              <w:right w:val="nil"/>
            </w:tcBorders>
            <w:shd w:val="clear" w:color="auto" w:fill="auto"/>
            <w:noWrap/>
            <w:vAlign w:val="bottom"/>
            <w:hideMark/>
          </w:tcPr>
          <w:p w14:paraId="15F24E67" w14:textId="77777777" w:rsidR="00554D0E" w:rsidRPr="00554D0E" w:rsidRDefault="00554D0E" w:rsidP="00554D0E">
            <w:pPr>
              <w:spacing w:after="0" w:line="240" w:lineRule="auto"/>
              <w:rPr>
                <w:rFonts w:eastAsia="Times New Roman"/>
                <w:color w:val="000000"/>
                <w:sz w:val="20"/>
                <w:szCs w:val="20"/>
                <w:lang w:val="en-CA" w:eastAsia="en-CA"/>
              </w:rPr>
            </w:pPr>
            <w:r w:rsidRPr="00554D0E">
              <w:rPr>
                <w:rFonts w:eastAsia="Times New Roman"/>
                <w:color w:val="000000"/>
                <w:sz w:val="20"/>
                <w:szCs w:val="20"/>
                <w:lang w:val="en-CA" w:eastAsia="en-CA"/>
              </w:rPr>
              <w:t>1. Elections NB</w:t>
            </w:r>
          </w:p>
        </w:tc>
      </w:tr>
    </w:tbl>
    <w:p w14:paraId="4750B350" w14:textId="116C0399" w:rsidR="00226288" w:rsidRPr="00226288" w:rsidRDefault="00226288" w:rsidP="00226288">
      <w:pPr>
        <w:rPr>
          <w:rFonts w:eastAsia="Times New Roman"/>
          <w:b/>
          <w:bCs/>
        </w:rPr>
      </w:pPr>
      <w:r w:rsidRPr="00226288">
        <w:rPr>
          <w:rFonts w:eastAsia="Times New Roman"/>
          <w:b/>
          <w:bCs/>
        </w:rPr>
        <w:t>Demographic Base</w:t>
      </w:r>
    </w:p>
    <w:p w14:paraId="7D8A8940" w14:textId="43B65B1D" w:rsidR="00BA73EA" w:rsidRDefault="00226288" w:rsidP="00554D0E">
      <w:pPr>
        <w:jc w:val="both"/>
        <w:rPr>
          <w:szCs w:val="24"/>
        </w:rPr>
      </w:pPr>
      <w:r w:rsidRPr="00226288">
        <w:rPr>
          <w:rFonts w:eastAsia="Times New Roman"/>
          <w:color w:val="000000" w:themeColor="text1"/>
          <w:szCs w:val="24"/>
        </w:rPr>
        <w:t>The total population of the municipal</w:t>
      </w:r>
      <w:r w:rsidRPr="00226288">
        <w:rPr>
          <w:szCs w:val="24"/>
        </w:rPr>
        <w:t>ity</w:t>
      </w:r>
      <w:r w:rsidR="00554D0E">
        <w:rPr>
          <w:szCs w:val="24"/>
        </w:rPr>
        <w:t xml:space="preserve"> </w:t>
      </w:r>
      <w:r w:rsidRPr="00226288">
        <w:rPr>
          <w:rFonts w:eastAsia="Times New Roman"/>
          <w:color w:val="000000" w:themeColor="text1"/>
          <w:szCs w:val="24"/>
        </w:rPr>
        <w:t xml:space="preserve">would be approximately </w:t>
      </w:r>
      <w:r w:rsidR="009A2CEB">
        <w:rPr>
          <w:szCs w:val="24"/>
        </w:rPr>
        <w:t>9</w:t>
      </w:r>
      <w:r w:rsidR="007830AE">
        <w:rPr>
          <w:szCs w:val="24"/>
        </w:rPr>
        <w:t>4</w:t>
      </w:r>
      <w:r w:rsidR="009A2CEB">
        <w:rPr>
          <w:szCs w:val="24"/>
        </w:rPr>
        <w:t>00</w:t>
      </w:r>
      <w:r w:rsidR="0038365B">
        <w:rPr>
          <w:szCs w:val="24"/>
        </w:rPr>
        <w:t xml:space="preserve"> </w:t>
      </w:r>
      <w:r w:rsidR="006437C2">
        <w:rPr>
          <w:szCs w:val="24"/>
        </w:rPr>
        <w:t>people</w:t>
      </w:r>
      <w:r w:rsidR="007C1C58">
        <w:rPr>
          <w:szCs w:val="24"/>
        </w:rPr>
        <w:t xml:space="preserve">. </w:t>
      </w:r>
      <w:r w:rsidR="009A2CEB">
        <w:rPr>
          <w:szCs w:val="24"/>
        </w:rPr>
        <w:t xml:space="preserve">Since 2011 the proposed entity has lost </w:t>
      </w:r>
      <w:r w:rsidR="009E34FE">
        <w:rPr>
          <w:szCs w:val="24"/>
        </w:rPr>
        <w:t xml:space="preserve">about </w:t>
      </w:r>
      <w:r w:rsidR="00572114">
        <w:rPr>
          <w:szCs w:val="24"/>
        </w:rPr>
        <w:t>7</w:t>
      </w:r>
      <w:r w:rsidR="009E34FE">
        <w:rPr>
          <w:szCs w:val="24"/>
        </w:rPr>
        <w:t xml:space="preserve">% of its population, or </w:t>
      </w:r>
      <w:r w:rsidR="00572114">
        <w:rPr>
          <w:szCs w:val="24"/>
        </w:rPr>
        <w:t>7</w:t>
      </w:r>
      <w:r w:rsidR="009E34FE">
        <w:rPr>
          <w:szCs w:val="24"/>
        </w:rPr>
        <w:t>00 people</w:t>
      </w:r>
      <w:r w:rsidR="007C1C58">
        <w:rPr>
          <w:szCs w:val="24"/>
        </w:rPr>
        <w:t xml:space="preserve">. </w:t>
      </w:r>
      <w:r w:rsidR="006406FC">
        <w:rPr>
          <w:szCs w:val="24"/>
        </w:rPr>
        <w:t xml:space="preserve">In the original 2008 Finn report, this municipal entity was conceived of as being a Group B </w:t>
      </w:r>
      <w:r w:rsidR="00572114">
        <w:rPr>
          <w:szCs w:val="24"/>
        </w:rPr>
        <w:t>municipality</w:t>
      </w:r>
      <w:r w:rsidR="006406FC">
        <w:rPr>
          <w:szCs w:val="24"/>
        </w:rPr>
        <w:t xml:space="preserve"> with a population of 10000 to 40000. Given the population decline in the intervening years, it is now possible that the area needs to be expanded further. </w:t>
      </w:r>
      <w:r w:rsidR="00BA73EA" w:rsidRPr="00226288">
        <w:rPr>
          <w:rFonts w:eastAsia="Times New Roman"/>
          <w:color w:val="000000" w:themeColor="text1"/>
          <w:szCs w:val="24"/>
        </w:rPr>
        <w:t xml:space="preserve">In accordance with the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16AFC">
        <w:rPr>
          <w:rFonts w:eastAsia="Times New Roman"/>
          <w:color w:val="000000" w:themeColor="text1"/>
          <w:szCs w:val="24"/>
        </w:rPr>
        <w:t>Entity 5</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9E34FE">
        <w:rPr>
          <w:rFonts w:eastAsia="Times New Roman"/>
          <w:color w:val="000000" w:themeColor="text1"/>
          <w:szCs w:val="24"/>
        </w:rPr>
        <w:t>84</w:t>
      </w:r>
      <w:r w:rsidR="00BA73EA">
        <w:rPr>
          <w:rFonts w:eastAsia="Times New Roman"/>
          <w:color w:val="000000" w:themeColor="text1"/>
          <w:szCs w:val="24"/>
        </w:rPr>
        <w:t xml:space="preserve">% of the residents are Francophones. </w:t>
      </w:r>
      <w:r w:rsidR="00BA73EA" w:rsidRPr="00226288">
        <w:rPr>
          <w:rFonts w:eastAsia="Times New Roman"/>
          <w:color w:val="000000" w:themeColor="text1"/>
          <w:szCs w:val="24"/>
        </w:rPr>
        <w:t xml:space="preserve"> </w:t>
      </w:r>
    </w:p>
    <w:p w14:paraId="7028EDE0" w14:textId="0D5EEFF2" w:rsidR="00B478D5" w:rsidRDefault="009A3B95" w:rsidP="00E350B4">
      <w:pPr>
        <w:jc w:val="both"/>
        <w:rPr>
          <w:rFonts w:eastAsia="Times New Roman"/>
          <w:color w:val="000000" w:themeColor="text1"/>
          <w:szCs w:val="24"/>
        </w:rPr>
      </w:pPr>
      <w:r>
        <w:rPr>
          <w:rFonts w:eastAsia="Times New Roman"/>
          <w:color w:val="000000" w:themeColor="text1"/>
          <w:szCs w:val="24"/>
        </w:rPr>
        <w:lastRenderedPageBreak/>
        <w:t xml:space="preserve">As it stands today, </w:t>
      </w:r>
      <w:r w:rsidR="009E34FE">
        <w:rPr>
          <w:rFonts w:eastAsia="Times New Roman"/>
          <w:color w:val="000000" w:themeColor="text1"/>
          <w:szCs w:val="24"/>
        </w:rPr>
        <w:t xml:space="preserve">the democratic health of the proposed entity </w:t>
      </w:r>
      <w:r w:rsidR="008F1A52">
        <w:rPr>
          <w:rFonts w:eastAsia="Times New Roman"/>
          <w:color w:val="000000" w:themeColor="text1"/>
          <w:szCs w:val="24"/>
        </w:rPr>
        <w:t xml:space="preserve">deteriorating. While Plaster Rock </w:t>
      </w:r>
      <w:r w:rsidR="005757F8">
        <w:rPr>
          <w:rFonts w:eastAsia="Times New Roman"/>
          <w:color w:val="000000" w:themeColor="text1"/>
          <w:szCs w:val="24"/>
        </w:rPr>
        <w:t>and Perth-Andover have</w:t>
      </w:r>
      <w:r w:rsidR="008F1A52">
        <w:rPr>
          <w:rFonts w:eastAsia="Times New Roman"/>
          <w:color w:val="000000" w:themeColor="text1"/>
          <w:szCs w:val="24"/>
        </w:rPr>
        <w:t xml:space="preserve"> reported </w:t>
      </w:r>
      <w:r w:rsidR="005757F8">
        <w:rPr>
          <w:rFonts w:eastAsia="Times New Roman"/>
          <w:color w:val="000000" w:themeColor="text1"/>
          <w:szCs w:val="24"/>
        </w:rPr>
        <w:t xml:space="preserve">above average voter turnout for the last two quadrennial elections, Aroostook has seen one election by acclamation and another with a voter participation rate below the provincial average. </w:t>
      </w:r>
      <w:r w:rsidR="00BD1793">
        <w:rPr>
          <w:rFonts w:eastAsia="Times New Roman"/>
          <w:color w:val="000000" w:themeColor="text1"/>
          <w:szCs w:val="24"/>
        </w:rPr>
        <w:t xml:space="preserve">Furthermore, in 2018 it had to hold two separate by-elections because of </w:t>
      </w:r>
      <w:r w:rsidR="005A202C">
        <w:rPr>
          <w:rFonts w:eastAsia="Times New Roman"/>
          <w:color w:val="000000" w:themeColor="text1"/>
          <w:szCs w:val="24"/>
        </w:rPr>
        <w:t xml:space="preserve">Mayoral acclamations and subsequent resignations. </w:t>
      </w:r>
      <w:r w:rsidR="005757F8">
        <w:rPr>
          <w:rFonts w:eastAsia="Times New Roman"/>
          <w:color w:val="000000" w:themeColor="text1"/>
          <w:szCs w:val="24"/>
        </w:rPr>
        <w:t>Aroostook</w:t>
      </w:r>
      <w:r w:rsidR="00290DE5">
        <w:rPr>
          <w:rFonts w:eastAsia="Times New Roman"/>
          <w:color w:val="000000" w:themeColor="text1"/>
          <w:szCs w:val="24"/>
        </w:rPr>
        <w:t xml:space="preserve"> represents a fusion of the two largest threats to local government in New Brunswick: </w:t>
      </w:r>
      <w:r w:rsidR="00772156">
        <w:rPr>
          <w:rFonts w:eastAsia="Times New Roman"/>
          <w:color w:val="000000" w:themeColor="text1"/>
          <w:szCs w:val="24"/>
        </w:rPr>
        <w:t xml:space="preserve">voter apathy and shrinking candidate pools. </w:t>
      </w:r>
      <w:r w:rsidR="000947F5">
        <w:rPr>
          <w:rFonts w:eastAsia="Times New Roman"/>
          <w:color w:val="000000" w:themeColor="text1"/>
          <w:szCs w:val="24"/>
        </w:rPr>
        <w:t xml:space="preserve">The rest of the proposed Entity 5 – representing over half the total population – reside in unincorporated areas and so </w:t>
      </w:r>
      <w:r w:rsidR="002F043D">
        <w:rPr>
          <w:rFonts w:eastAsia="Times New Roman"/>
          <w:color w:val="000000" w:themeColor="text1"/>
          <w:szCs w:val="24"/>
        </w:rPr>
        <w:t xml:space="preserve">have no elected representation at the local level. </w:t>
      </w:r>
    </w:p>
    <w:tbl>
      <w:tblPr>
        <w:tblpPr w:leftFromText="180" w:rightFromText="180" w:vertAnchor="text" w:horzAnchor="margin" w:tblpXSpec="right" w:tblpY="39"/>
        <w:tblOverlap w:val="never"/>
        <w:tblW w:w="6832" w:type="dxa"/>
        <w:tblLook w:val="04A0" w:firstRow="1" w:lastRow="0" w:firstColumn="1" w:lastColumn="0" w:noHBand="0" w:noVBand="1"/>
      </w:tblPr>
      <w:tblGrid>
        <w:gridCol w:w="1815"/>
        <w:gridCol w:w="1463"/>
        <w:gridCol w:w="1310"/>
        <w:gridCol w:w="934"/>
        <w:gridCol w:w="1310"/>
      </w:tblGrid>
      <w:tr w:rsidR="00783948" w:rsidRPr="00783948" w14:paraId="10A6CC69" w14:textId="77777777" w:rsidTr="00783948">
        <w:trPr>
          <w:trHeight w:val="310"/>
        </w:trPr>
        <w:tc>
          <w:tcPr>
            <w:tcW w:w="6832" w:type="dxa"/>
            <w:gridSpan w:val="5"/>
            <w:tcBorders>
              <w:top w:val="nil"/>
              <w:left w:val="nil"/>
              <w:bottom w:val="single" w:sz="4" w:space="0" w:color="FFFFFF"/>
              <w:right w:val="nil"/>
            </w:tcBorders>
            <w:shd w:val="clear" w:color="auto" w:fill="auto"/>
            <w:noWrap/>
            <w:vAlign w:val="center"/>
            <w:hideMark/>
          </w:tcPr>
          <w:p w14:paraId="6AB3D95E"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Status of By-Elections for Mayors and/or Councillors</w:t>
            </w:r>
          </w:p>
        </w:tc>
      </w:tr>
      <w:tr w:rsidR="00783948" w:rsidRPr="00783948" w14:paraId="381035C8" w14:textId="77777777" w:rsidTr="00783948">
        <w:trPr>
          <w:trHeight w:val="970"/>
        </w:trPr>
        <w:tc>
          <w:tcPr>
            <w:tcW w:w="1815"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69FC82C7"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Municipality</w:t>
            </w:r>
          </w:p>
        </w:tc>
        <w:tc>
          <w:tcPr>
            <w:tcW w:w="2773" w:type="dxa"/>
            <w:gridSpan w:val="2"/>
            <w:tcBorders>
              <w:top w:val="nil"/>
              <w:left w:val="nil"/>
              <w:bottom w:val="single" w:sz="4" w:space="0" w:color="FFFFFF"/>
              <w:right w:val="single" w:sz="4" w:space="0" w:color="FFFFFF"/>
            </w:tcBorders>
            <w:shd w:val="clear" w:color="4472C4" w:fill="4472C4"/>
            <w:vAlign w:val="center"/>
            <w:hideMark/>
          </w:tcPr>
          <w:p w14:paraId="1731F3B2"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2018 By-Election(s)</w:t>
            </w:r>
          </w:p>
        </w:tc>
        <w:tc>
          <w:tcPr>
            <w:tcW w:w="2244" w:type="dxa"/>
            <w:gridSpan w:val="2"/>
            <w:tcBorders>
              <w:top w:val="nil"/>
              <w:left w:val="nil"/>
              <w:bottom w:val="single" w:sz="4" w:space="0" w:color="FFFFFF"/>
              <w:right w:val="single" w:sz="4" w:space="0" w:color="FFFFFF"/>
            </w:tcBorders>
            <w:shd w:val="clear" w:color="4472C4" w:fill="4472C4"/>
            <w:vAlign w:val="center"/>
            <w:hideMark/>
          </w:tcPr>
          <w:p w14:paraId="725EC09D"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2019 By-Election(s)</w:t>
            </w:r>
          </w:p>
        </w:tc>
      </w:tr>
      <w:tr w:rsidR="00783948" w:rsidRPr="00783948" w14:paraId="08E62F08" w14:textId="77777777" w:rsidTr="00783948">
        <w:trPr>
          <w:trHeight w:val="350"/>
        </w:trPr>
        <w:tc>
          <w:tcPr>
            <w:tcW w:w="1815" w:type="dxa"/>
            <w:vMerge/>
            <w:tcBorders>
              <w:top w:val="nil"/>
              <w:left w:val="single" w:sz="4" w:space="0" w:color="FFFFFF"/>
              <w:bottom w:val="single" w:sz="12" w:space="0" w:color="FFFFFF"/>
              <w:right w:val="single" w:sz="4" w:space="0" w:color="FFFFFF"/>
            </w:tcBorders>
            <w:vAlign w:val="center"/>
            <w:hideMark/>
          </w:tcPr>
          <w:p w14:paraId="60EBFF1D" w14:textId="77777777" w:rsidR="00783948" w:rsidRPr="00783948" w:rsidRDefault="00783948" w:rsidP="00783948">
            <w:pPr>
              <w:spacing w:after="0" w:line="240" w:lineRule="auto"/>
              <w:rPr>
                <w:rFonts w:eastAsia="Times New Roman"/>
                <w:b/>
                <w:bCs/>
                <w:color w:val="000000"/>
                <w:szCs w:val="24"/>
                <w:lang w:val="en-CA" w:eastAsia="en-CA"/>
              </w:rPr>
            </w:pPr>
          </w:p>
        </w:tc>
        <w:tc>
          <w:tcPr>
            <w:tcW w:w="1463" w:type="dxa"/>
            <w:tcBorders>
              <w:top w:val="nil"/>
              <w:left w:val="nil"/>
              <w:bottom w:val="single" w:sz="4" w:space="0" w:color="FFFFFF"/>
              <w:right w:val="single" w:sz="4" w:space="0" w:color="FFFFFF"/>
            </w:tcBorders>
            <w:shd w:val="clear" w:color="4472C4" w:fill="4472C4"/>
            <w:vAlign w:val="center"/>
            <w:hideMark/>
          </w:tcPr>
          <w:p w14:paraId="58A6E3FC"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Mayor</w:t>
            </w:r>
          </w:p>
        </w:tc>
        <w:tc>
          <w:tcPr>
            <w:tcW w:w="1310" w:type="dxa"/>
            <w:tcBorders>
              <w:top w:val="nil"/>
              <w:left w:val="nil"/>
              <w:bottom w:val="single" w:sz="4" w:space="0" w:color="FFFFFF"/>
              <w:right w:val="single" w:sz="4" w:space="0" w:color="FFFFFF"/>
            </w:tcBorders>
            <w:shd w:val="clear" w:color="4472C4" w:fill="4472C4"/>
            <w:vAlign w:val="center"/>
            <w:hideMark/>
          </w:tcPr>
          <w:p w14:paraId="15851C55"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Councillor</w:t>
            </w:r>
          </w:p>
        </w:tc>
        <w:tc>
          <w:tcPr>
            <w:tcW w:w="934" w:type="dxa"/>
            <w:tcBorders>
              <w:top w:val="nil"/>
              <w:left w:val="nil"/>
              <w:bottom w:val="single" w:sz="4" w:space="0" w:color="FFFFFF"/>
              <w:right w:val="single" w:sz="4" w:space="0" w:color="FFFFFF"/>
            </w:tcBorders>
            <w:shd w:val="clear" w:color="4472C4" w:fill="4472C4"/>
            <w:vAlign w:val="center"/>
            <w:hideMark/>
          </w:tcPr>
          <w:p w14:paraId="2E9C9DEE"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Mayor</w:t>
            </w:r>
          </w:p>
        </w:tc>
        <w:tc>
          <w:tcPr>
            <w:tcW w:w="1310" w:type="dxa"/>
            <w:tcBorders>
              <w:top w:val="nil"/>
              <w:left w:val="nil"/>
              <w:bottom w:val="single" w:sz="4" w:space="0" w:color="FFFFFF"/>
              <w:right w:val="single" w:sz="4" w:space="0" w:color="FFFFFF"/>
            </w:tcBorders>
            <w:shd w:val="clear" w:color="4472C4" w:fill="4472C4"/>
            <w:vAlign w:val="center"/>
            <w:hideMark/>
          </w:tcPr>
          <w:p w14:paraId="49637E04" w14:textId="77777777" w:rsidR="00783948" w:rsidRPr="00783948" w:rsidRDefault="00783948" w:rsidP="00783948">
            <w:pPr>
              <w:spacing w:after="0" w:line="240" w:lineRule="auto"/>
              <w:jc w:val="center"/>
              <w:rPr>
                <w:rFonts w:eastAsia="Times New Roman"/>
                <w:b/>
                <w:bCs/>
                <w:color w:val="000000"/>
                <w:szCs w:val="24"/>
                <w:lang w:val="en-CA" w:eastAsia="en-CA"/>
              </w:rPr>
            </w:pPr>
            <w:r w:rsidRPr="00783948">
              <w:rPr>
                <w:rFonts w:eastAsia="Times New Roman"/>
                <w:b/>
                <w:bCs/>
                <w:color w:val="000000"/>
                <w:szCs w:val="24"/>
                <w:lang w:val="en-CA" w:eastAsia="en-CA"/>
              </w:rPr>
              <w:t>Councillor</w:t>
            </w:r>
          </w:p>
        </w:tc>
      </w:tr>
      <w:tr w:rsidR="00783948" w:rsidRPr="00783948" w14:paraId="0759D877" w14:textId="77777777" w:rsidTr="00783948">
        <w:trPr>
          <w:trHeight w:val="320"/>
        </w:trPr>
        <w:tc>
          <w:tcPr>
            <w:tcW w:w="1815" w:type="dxa"/>
            <w:tcBorders>
              <w:top w:val="nil"/>
              <w:left w:val="nil"/>
              <w:bottom w:val="nil"/>
              <w:right w:val="nil"/>
            </w:tcBorders>
            <w:shd w:val="clear" w:color="B4C6E7" w:fill="B4C6E7"/>
            <w:noWrap/>
            <w:vAlign w:val="bottom"/>
            <w:hideMark/>
          </w:tcPr>
          <w:p w14:paraId="01A6F5A4" w14:textId="77777777" w:rsidR="00783948" w:rsidRPr="00783948" w:rsidRDefault="00783948" w:rsidP="00783948">
            <w:pPr>
              <w:spacing w:after="0" w:line="240" w:lineRule="auto"/>
              <w:rPr>
                <w:rFonts w:eastAsia="Times New Roman"/>
                <w:color w:val="000000"/>
                <w:szCs w:val="24"/>
                <w:lang w:val="en-CA" w:eastAsia="en-CA"/>
              </w:rPr>
            </w:pPr>
            <w:r w:rsidRPr="00783948">
              <w:rPr>
                <w:rFonts w:eastAsia="Times New Roman"/>
                <w:color w:val="000000"/>
                <w:szCs w:val="24"/>
                <w:lang w:val="en-CA" w:eastAsia="en-CA"/>
              </w:rPr>
              <w:t>Aroostook</w:t>
            </w:r>
          </w:p>
        </w:tc>
        <w:tc>
          <w:tcPr>
            <w:tcW w:w="1463" w:type="dxa"/>
            <w:tcBorders>
              <w:top w:val="nil"/>
              <w:left w:val="single" w:sz="4" w:space="0" w:color="FFFFFF"/>
              <w:bottom w:val="nil"/>
              <w:right w:val="nil"/>
            </w:tcBorders>
            <w:shd w:val="clear" w:color="B4C6E7" w:fill="B4C6E7"/>
            <w:noWrap/>
            <w:vAlign w:val="bottom"/>
            <w:hideMark/>
          </w:tcPr>
          <w:p w14:paraId="7D2A3CBC"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2 Acclaimed</w:t>
            </w:r>
          </w:p>
        </w:tc>
        <w:tc>
          <w:tcPr>
            <w:tcW w:w="1310" w:type="dxa"/>
            <w:tcBorders>
              <w:top w:val="nil"/>
              <w:left w:val="single" w:sz="4" w:space="0" w:color="FFFFFF"/>
              <w:bottom w:val="nil"/>
              <w:right w:val="nil"/>
            </w:tcBorders>
            <w:shd w:val="clear" w:color="B4C6E7" w:fill="B4C6E7"/>
            <w:noWrap/>
            <w:vAlign w:val="bottom"/>
            <w:hideMark/>
          </w:tcPr>
          <w:p w14:paraId="58690649"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Contested</w:t>
            </w:r>
          </w:p>
        </w:tc>
        <w:tc>
          <w:tcPr>
            <w:tcW w:w="934" w:type="dxa"/>
            <w:tcBorders>
              <w:top w:val="nil"/>
              <w:left w:val="single" w:sz="4" w:space="0" w:color="FFFFFF"/>
              <w:bottom w:val="nil"/>
              <w:right w:val="nil"/>
            </w:tcBorders>
            <w:shd w:val="clear" w:color="B4C6E7" w:fill="B4C6E7"/>
            <w:noWrap/>
            <w:vAlign w:val="bottom"/>
            <w:hideMark/>
          </w:tcPr>
          <w:p w14:paraId="50230BFD"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1310" w:type="dxa"/>
            <w:tcBorders>
              <w:top w:val="nil"/>
              <w:left w:val="single" w:sz="4" w:space="0" w:color="FFFFFF"/>
              <w:bottom w:val="nil"/>
              <w:right w:val="nil"/>
            </w:tcBorders>
            <w:shd w:val="clear" w:color="B4C6E7" w:fill="B4C6E7"/>
            <w:noWrap/>
            <w:vAlign w:val="bottom"/>
            <w:hideMark/>
          </w:tcPr>
          <w:p w14:paraId="6B8FD135"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r>
      <w:tr w:rsidR="00783948" w:rsidRPr="00783948" w14:paraId="090C083A" w14:textId="77777777" w:rsidTr="00783948">
        <w:trPr>
          <w:trHeight w:val="310"/>
        </w:trPr>
        <w:tc>
          <w:tcPr>
            <w:tcW w:w="1815" w:type="dxa"/>
            <w:tcBorders>
              <w:top w:val="single" w:sz="4" w:space="0" w:color="FFFFFF"/>
              <w:left w:val="nil"/>
              <w:bottom w:val="nil"/>
              <w:right w:val="nil"/>
            </w:tcBorders>
            <w:shd w:val="clear" w:color="D9E1F2" w:fill="D9E1F2"/>
            <w:noWrap/>
            <w:vAlign w:val="bottom"/>
            <w:hideMark/>
          </w:tcPr>
          <w:p w14:paraId="1CD20A99" w14:textId="77777777" w:rsidR="00783948" w:rsidRPr="00783948" w:rsidRDefault="00783948" w:rsidP="00783948">
            <w:pPr>
              <w:spacing w:after="0" w:line="240" w:lineRule="auto"/>
              <w:rPr>
                <w:rFonts w:eastAsia="Times New Roman"/>
                <w:color w:val="000000"/>
                <w:szCs w:val="24"/>
                <w:lang w:val="en-CA" w:eastAsia="en-CA"/>
              </w:rPr>
            </w:pPr>
            <w:r w:rsidRPr="00783948">
              <w:rPr>
                <w:rFonts w:eastAsia="Times New Roman"/>
                <w:color w:val="000000"/>
                <w:szCs w:val="24"/>
                <w:lang w:val="en-CA" w:eastAsia="en-CA"/>
              </w:rPr>
              <w:t>Perth-Andover</w:t>
            </w:r>
          </w:p>
        </w:tc>
        <w:tc>
          <w:tcPr>
            <w:tcW w:w="1463" w:type="dxa"/>
            <w:tcBorders>
              <w:top w:val="single" w:sz="4" w:space="0" w:color="FFFFFF"/>
              <w:left w:val="single" w:sz="4" w:space="0" w:color="FFFFFF"/>
              <w:bottom w:val="nil"/>
              <w:right w:val="nil"/>
            </w:tcBorders>
            <w:shd w:val="clear" w:color="D9E1F2" w:fill="D9E1F2"/>
            <w:noWrap/>
            <w:vAlign w:val="bottom"/>
            <w:hideMark/>
          </w:tcPr>
          <w:p w14:paraId="40ED605B"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1310" w:type="dxa"/>
            <w:tcBorders>
              <w:top w:val="single" w:sz="4" w:space="0" w:color="FFFFFF"/>
              <w:left w:val="single" w:sz="4" w:space="0" w:color="FFFFFF"/>
              <w:bottom w:val="nil"/>
              <w:right w:val="nil"/>
            </w:tcBorders>
            <w:shd w:val="clear" w:color="D9E1F2" w:fill="D9E1F2"/>
            <w:noWrap/>
            <w:vAlign w:val="bottom"/>
            <w:hideMark/>
          </w:tcPr>
          <w:p w14:paraId="6D96558D"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934" w:type="dxa"/>
            <w:tcBorders>
              <w:top w:val="single" w:sz="4" w:space="0" w:color="FFFFFF"/>
              <w:left w:val="single" w:sz="4" w:space="0" w:color="FFFFFF"/>
              <w:bottom w:val="nil"/>
              <w:right w:val="nil"/>
            </w:tcBorders>
            <w:shd w:val="clear" w:color="D9E1F2" w:fill="D9E1F2"/>
            <w:noWrap/>
            <w:vAlign w:val="bottom"/>
            <w:hideMark/>
          </w:tcPr>
          <w:p w14:paraId="3B5D01E7"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1310" w:type="dxa"/>
            <w:tcBorders>
              <w:top w:val="single" w:sz="4" w:space="0" w:color="FFFFFF"/>
              <w:left w:val="single" w:sz="4" w:space="0" w:color="FFFFFF"/>
              <w:bottom w:val="nil"/>
              <w:right w:val="nil"/>
            </w:tcBorders>
            <w:shd w:val="clear" w:color="D9E1F2" w:fill="D9E1F2"/>
            <w:noWrap/>
            <w:vAlign w:val="bottom"/>
            <w:hideMark/>
          </w:tcPr>
          <w:p w14:paraId="7A1EC22C"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Acclaimed</w:t>
            </w:r>
          </w:p>
        </w:tc>
      </w:tr>
      <w:tr w:rsidR="00783948" w:rsidRPr="00783948" w14:paraId="2EBC8034" w14:textId="77777777" w:rsidTr="00783948">
        <w:trPr>
          <w:trHeight w:val="310"/>
        </w:trPr>
        <w:tc>
          <w:tcPr>
            <w:tcW w:w="1815" w:type="dxa"/>
            <w:tcBorders>
              <w:top w:val="single" w:sz="4" w:space="0" w:color="FFFFFF"/>
              <w:left w:val="nil"/>
              <w:bottom w:val="nil"/>
              <w:right w:val="nil"/>
            </w:tcBorders>
            <w:shd w:val="clear" w:color="B4C6E7" w:fill="B4C6E7"/>
            <w:noWrap/>
            <w:vAlign w:val="bottom"/>
            <w:hideMark/>
          </w:tcPr>
          <w:p w14:paraId="2DA43E76" w14:textId="77777777" w:rsidR="00783948" w:rsidRPr="00783948" w:rsidRDefault="00783948" w:rsidP="00783948">
            <w:pPr>
              <w:spacing w:after="0" w:line="240" w:lineRule="auto"/>
              <w:rPr>
                <w:rFonts w:eastAsia="Times New Roman"/>
                <w:color w:val="000000"/>
                <w:szCs w:val="24"/>
                <w:lang w:val="en-CA" w:eastAsia="en-CA"/>
              </w:rPr>
            </w:pPr>
            <w:r w:rsidRPr="00783948">
              <w:rPr>
                <w:rFonts w:eastAsia="Times New Roman"/>
                <w:color w:val="000000"/>
                <w:szCs w:val="24"/>
                <w:lang w:val="en-CA" w:eastAsia="en-CA"/>
              </w:rPr>
              <w:t>Plaster Rock</w:t>
            </w:r>
          </w:p>
        </w:tc>
        <w:tc>
          <w:tcPr>
            <w:tcW w:w="1463" w:type="dxa"/>
            <w:tcBorders>
              <w:top w:val="single" w:sz="4" w:space="0" w:color="FFFFFF"/>
              <w:left w:val="single" w:sz="4" w:space="0" w:color="FFFFFF"/>
              <w:bottom w:val="nil"/>
              <w:right w:val="nil"/>
            </w:tcBorders>
            <w:shd w:val="clear" w:color="B4C6E7" w:fill="B4C6E7"/>
            <w:noWrap/>
            <w:vAlign w:val="bottom"/>
            <w:hideMark/>
          </w:tcPr>
          <w:p w14:paraId="10FD00D9"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1310" w:type="dxa"/>
            <w:tcBorders>
              <w:top w:val="single" w:sz="4" w:space="0" w:color="FFFFFF"/>
              <w:left w:val="single" w:sz="4" w:space="0" w:color="FFFFFF"/>
              <w:bottom w:val="nil"/>
              <w:right w:val="nil"/>
            </w:tcBorders>
            <w:shd w:val="clear" w:color="B4C6E7" w:fill="B4C6E7"/>
            <w:noWrap/>
            <w:vAlign w:val="bottom"/>
            <w:hideMark/>
          </w:tcPr>
          <w:p w14:paraId="55163F5A"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934" w:type="dxa"/>
            <w:tcBorders>
              <w:top w:val="single" w:sz="4" w:space="0" w:color="FFFFFF"/>
              <w:left w:val="single" w:sz="4" w:space="0" w:color="FFFFFF"/>
              <w:bottom w:val="nil"/>
              <w:right w:val="nil"/>
            </w:tcBorders>
            <w:shd w:val="clear" w:color="B4C6E7" w:fill="B4C6E7"/>
            <w:noWrap/>
            <w:vAlign w:val="bottom"/>
            <w:hideMark/>
          </w:tcPr>
          <w:p w14:paraId="51893437"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c>
          <w:tcPr>
            <w:tcW w:w="1310" w:type="dxa"/>
            <w:tcBorders>
              <w:top w:val="single" w:sz="4" w:space="0" w:color="FFFFFF"/>
              <w:left w:val="single" w:sz="4" w:space="0" w:color="FFFFFF"/>
              <w:bottom w:val="nil"/>
              <w:right w:val="nil"/>
            </w:tcBorders>
            <w:shd w:val="clear" w:color="B4C6E7" w:fill="B4C6E7"/>
            <w:noWrap/>
            <w:vAlign w:val="bottom"/>
            <w:hideMark/>
          </w:tcPr>
          <w:p w14:paraId="17A4F7A0" w14:textId="77777777" w:rsidR="00783948" w:rsidRPr="00783948" w:rsidRDefault="00783948" w:rsidP="00783948">
            <w:pPr>
              <w:spacing w:after="0" w:line="240" w:lineRule="auto"/>
              <w:jc w:val="right"/>
              <w:rPr>
                <w:rFonts w:eastAsia="Times New Roman"/>
                <w:color w:val="000000"/>
                <w:szCs w:val="24"/>
                <w:lang w:val="en-CA" w:eastAsia="en-CA"/>
              </w:rPr>
            </w:pPr>
            <w:r w:rsidRPr="00783948">
              <w:rPr>
                <w:rFonts w:eastAsia="Times New Roman"/>
                <w:color w:val="000000"/>
                <w:szCs w:val="24"/>
                <w:lang w:val="en-CA" w:eastAsia="en-CA"/>
              </w:rPr>
              <w:t>N/A</w:t>
            </w:r>
          </w:p>
        </w:tc>
      </w:tr>
      <w:tr w:rsidR="00783948" w:rsidRPr="00783948" w14:paraId="5E86AB58" w14:textId="77777777" w:rsidTr="00783948">
        <w:trPr>
          <w:trHeight w:val="290"/>
        </w:trPr>
        <w:tc>
          <w:tcPr>
            <w:tcW w:w="6832" w:type="dxa"/>
            <w:gridSpan w:val="5"/>
            <w:tcBorders>
              <w:top w:val="nil"/>
              <w:left w:val="nil"/>
              <w:bottom w:val="nil"/>
              <w:right w:val="nil"/>
            </w:tcBorders>
            <w:shd w:val="clear" w:color="auto" w:fill="auto"/>
            <w:noWrap/>
            <w:vAlign w:val="bottom"/>
            <w:hideMark/>
          </w:tcPr>
          <w:p w14:paraId="108F24E2" w14:textId="77777777" w:rsidR="00783948" w:rsidRPr="00783948" w:rsidRDefault="00783948" w:rsidP="00783948">
            <w:pPr>
              <w:spacing w:after="0" w:line="240" w:lineRule="auto"/>
              <w:rPr>
                <w:rFonts w:eastAsia="Times New Roman"/>
                <w:color w:val="000000"/>
                <w:sz w:val="20"/>
                <w:szCs w:val="20"/>
                <w:lang w:val="en-CA" w:eastAsia="en-CA"/>
              </w:rPr>
            </w:pPr>
            <w:r w:rsidRPr="00783948">
              <w:rPr>
                <w:rFonts w:eastAsia="Times New Roman"/>
                <w:color w:val="000000"/>
                <w:sz w:val="20"/>
                <w:szCs w:val="20"/>
                <w:lang w:val="en-CA" w:eastAsia="en-CA"/>
              </w:rPr>
              <w:t>1. Elections NB</w:t>
            </w:r>
          </w:p>
        </w:tc>
      </w:tr>
    </w:tbl>
    <w:p w14:paraId="0894E46E" w14:textId="0E27C0E1" w:rsidR="00D11F53" w:rsidRDefault="00D11F53" w:rsidP="00783948">
      <w:pPr>
        <w:jc w:val="both"/>
        <w:rPr>
          <w:rFonts w:eastAsia="Times New Roman"/>
          <w:color w:val="000000" w:themeColor="text1"/>
          <w:szCs w:val="24"/>
        </w:rPr>
      </w:pPr>
      <w:r>
        <w:rPr>
          <w:rFonts w:eastAsia="Times New Roman"/>
          <w:color w:val="000000" w:themeColor="text1"/>
          <w:szCs w:val="24"/>
        </w:rPr>
        <w:t xml:space="preserve">All three of these problems can be addressed with the new framework. Being reorganized as Entity 5, </w:t>
      </w:r>
      <w:r w:rsidR="00054665">
        <w:rPr>
          <w:rFonts w:eastAsia="Times New Roman"/>
          <w:color w:val="000000" w:themeColor="text1"/>
          <w:szCs w:val="24"/>
        </w:rPr>
        <w:t>the electorate will be significantly expanded allowing for more competitive electio</w:t>
      </w:r>
      <w:r w:rsidR="00521FC4">
        <w:rPr>
          <w:rFonts w:eastAsia="Times New Roman"/>
          <w:color w:val="000000" w:themeColor="text1"/>
          <w:szCs w:val="24"/>
        </w:rPr>
        <w:t xml:space="preserve">ns. The mixture of suburban, and rural populations will allow for a great </w:t>
      </w:r>
      <w:r w:rsidR="00B04902">
        <w:rPr>
          <w:rFonts w:eastAsia="Times New Roman"/>
          <w:color w:val="000000" w:themeColor="text1"/>
          <w:szCs w:val="24"/>
        </w:rPr>
        <w:t>diversity</w:t>
      </w:r>
      <w:r w:rsidR="00521FC4">
        <w:rPr>
          <w:rFonts w:eastAsia="Times New Roman"/>
          <w:color w:val="000000" w:themeColor="text1"/>
          <w:szCs w:val="24"/>
        </w:rPr>
        <w:t xml:space="preserve"> of interests further incentivizing voter </w:t>
      </w:r>
      <w:r w:rsidR="003055AC">
        <w:rPr>
          <w:rFonts w:eastAsia="Times New Roman"/>
          <w:color w:val="000000" w:themeColor="text1"/>
          <w:szCs w:val="24"/>
        </w:rPr>
        <w:t>participation. Mass</w:t>
      </w:r>
      <w:r w:rsidR="00B04902">
        <w:rPr>
          <w:rFonts w:eastAsia="Times New Roman"/>
          <w:color w:val="000000" w:themeColor="text1"/>
          <w:szCs w:val="24"/>
        </w:rPr>
        <w:t xml:space="preserve"> voter </w:t>
      </w:r>
      <w:r w:rsidR="003055AC">
        <w:rPr>
          <w:rFonts w:eastAsia="Times New Roman"/>
          <w:color w:val="000000" w:themeColor="text1"/>
          <w:szCs w:val="24"/>
        </w:rPr>
        <w:t>turnout</w:t>
      </w:r>
      <w:r w:rsidR="00B04902">
        <w:rPr>
          <w:rFonts w:eastAsia="Times New Roman"/>
          <w:color w:val="000000" w:themeColor="text1"/>
          <w:szCs w:val="24"/>
        </w:rPr>
        <w:t xml:space="preserve"> in formerly unincorporated areas has been reported in the </w:t>
      </w:r>
      <w:r w:rsidR="003055AC">
        <w:rPr>
          <w:rFonts w:eastAsia="Times New Roman"/>
          <w:color w:val="000000" w:themeColor="text1"/>
          <w:szCs w:val="24"/>
        </w:rPr>
        <w:t>relatively</w:t>
      </w:r>
      <w:r w:rsidR="00B04902">
        <w:rPr>
          <w:rFonts w:eastAsia="Times New Roman"/>
          <w:color w:val="000000" w:themeColor="text1"/>
          <w:szCs w:val="24"/>
        </w:rPr>
        <w:t xml:space="preserve"> novel Rural Communities, which on average </w:t>
      </w:r>
      <w:r w:rsidR="003055AC">
        <w:rPr>
          <w:rFonts w:eastAsia="Times New Roman"/>
          <w:color w:val="000000" w:themeColor="text1"/>
          <w:szCs w:val="24"/>
        </w:rPr>
        <w:t xml:space="preserve">report voter turnouts of 10-20 points above the provincial participation rate. </w:t>
      </w:r>
    </w:p>
    <w:p w14:paraId="77FC3A55" w14:textId="5A153856" w:rsidR="009E34FE" w:rsidRDefault="00D1236C" w:rsidP="00783948">
      <w:pPr>
        <w:jc w:val="both"/>
        <w:rPr>
          <w:rFonts w:eastAsia="Times New Roman"/>
          <w:color w:val="000000" w:themeColor="text1"/>
          <w:szCs w:val="24"/>
        </w:rPr>
      </w:pPr>
      <w:r>
        <w:rPr>
          <w:rFonts w:eastAsia="Times New Roman"/>
          <w:color w:val="000000" w:themeColor="text1"/>
          <w:szCs w:val="24"/>
        </w:rPr>
        <w:t xml:space="preserve">The most important benefit of incorporating the existing LSDs, however, is that </w:t>
      </w:r>
      <w:r w:rsidR="00DC75B9">
        <w:rPr>
          <w:rFonts w:eastAsia="Times New Roman"/>
          <w:color w:val="000000" w:themeColor="text1"/>
          <w:szCs w:val="24"/>
        </w:rPr>
        <w:t>these new sections of the electorate wil</w:t>
      </w:r>
      <w:r w:rsidR="000832B3">
        <w:rPr>
          <w:rFonts w:eastAsia="Times New Roman"/>
          <w:color w:val="000000" w:themeColor="text1"/>
          <w:szCs w:val="24"/>
        </w:rPr>
        <w:t xml:space="preserve">l create a sustainable pool of potential candidates. While there have not been </w:t>
      </w:r>
      <w:r w:rsidR="00F04726">
        <w:rPr>
          <w:rFonts w:eastAsia="Times New Roman"/>
          <w:color w:val="000000" w:themeColor="text1"/>
          <w:szCs w:val="24"/>
        </w:rPr>
        <w:t xml:space="preserve">uncontested elections in either Perth-Andover or Plaster Rock in the last two election cycles, </w:t>
      </w:r>
      <w:r w:rsidR="004A420D">
        <w:rPr>
          <w:rFonts w:eastAsia="Times New Roman"/>
          <w:color w:val="000000" w:themeColor="text1"/>
          <w:szCs w:val="24"/>
        </w:rPr>
        <w:t xml:space="preserve">the three municipalities in the proposed Entity 5 are seeing their populations decrease far more quickly than the unincorporated areas. Because the population of these LSDs represent over half of the proposed entity’s total population, </w:t>
      </w:r>
      <w:r w:rsidR="003F6376">
        <w:rPr>
          <w:rFonts w:eastAsia="Times New Roman"/>
          <w:color w:val="000000" w:themeColor="text1"/>
          <w:szCs w:val="24"/>
        </w:rPr>
        <w:t xml:space="preserve">enabling their participation as both voters and candidates will give Entity 5 a better chance at developing healthy and sustainable democratic institutions.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681383A6" w:rsidR="00226288" w:rsidRPr="00226288" w:rsidRDefault="00C16AFC" w:rsidP="00226288">
      <w:r>
        <w:t>Entity 5</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778730A0" w:rsidR="00226288" w:rsidRPr="00C81ADA" w:rsidRDefault="00226288" w:rsidP="00226288">
      <w:pPr>
        <w:rPr>
          <w:rFonts w:eastAsia="Times New Roman"/>
          <w:color w:val="000000"/>
          <w:sz w:val="20"/>
          <w:szCs w:val="20"/>
          <w:lang w:val="en-CA" w:eastAsia="en-CA"/>
        </w:rPr>
      </w:pPr>
      <w:r w:rsidRPr="00226288">
        <w:t xml:space="preserve">Because its population is </w:t>
      </w:r>
      <w:r w:rsidR="00275F78">
        <w:t>above</w:t>
      </w:r>
      <w:r w:rsidRPr="00226288">
        <w:t xml:space="preserve"> </w:t>
      </w:r>
      <w:r w:rsidR="00B125F3">
        <w:t>below 1</w:t>
      </w:r>
      <w:r w:rsidR="00275F78">
        <w:t>0</w:t>
      </w:r>
      <w:r w:rsidR="00CB1A28">
        <w:t>,</w:t>
      </w:r>
      <w:r w:rsidR="00275F78">
        <w:t>000</w:t>
      </w:r>
      <w:r w:rsidRPr="00226288">
        <w:t xml:space="preserve">, </w:t>
      </w:r>
      <w:r w:rsidR="00C16AFC">
        <w:t>Entity 5</w:t>
      </w:r>
      <w:r w:rsidR="00B125F3">
        <w:t xml:space="preserve"> would qualify as a ‘Group A</w:t>
      </w:r>
      <w:r w:rsidRPr="00226288">
        <w:t>’ municipality</w:t>
      </w:r>
      <w:r w:rsidR="003011C3">
        <w:t xml:space="preserve">. </w:t>
      </w:r>
      <w:r w:rsidR="00655DE2">
        <w:t>As Entity 5</w:t>
      </w:r>
      <w:r w:rsidR="00655DE2" w:rsidRPr="00AD5F5E">
        <w:rPr>
          <w:szCs w:val="24"/>
        </w:rPr>
        <w:t xml:space="preserve">’s assessment base per </w:t>
      </w:r>
      <w:r w:rsidR="00655DE2" w:rsidRPr="003E68B9">
        <w:rPr>
          <w:szCs w:val="24"/>
        </w:rPr>
        <w:t>capita would be lesser than the group average</w:t>
      </w:r>
      <w:r w:rsidR="00655DE2">
        <w:rPr>
          <w:szCs w:val="24"/>
        </w:rPr>
        <w:t xml:space="preserve">, </w:t>
      </w:r>
      <w:r w:rsidR="00655DE2" w:rsidRPr="003E68B9">
        <w:rPr>
          <w:szCs w:val="24"/>
        </w:rPr>
        <w:t>the entity</w:t>
      </w:r>
      <w:r w:rsidR="00655DE2">
        <w:rPr>
          <w:szCs w:val="24"/>
        </w:rPr>
        <w:t xml:space="preserve"> would be entitled</w:t>
      </w:r>
      <w:r w:rsidR="00655DE2" w:rsidRPr="003E68B9">
        <w:rPr>
          <w:szCs w:val="24"/>
        </w:rPr>
        <w:t xml:space="preserve"> to an annual equalization grant of </w:t>
      </w:r>
      <w:r w:rsidR="00655DE2">
        <w:rPr>
          <w:rFonts w:eastAsia="Times New Roman"/>
          <w:color w:val="000000"/>
          <w:szCs w:val="24"/>
          <w:lang w:val="en-CA" w:eastAsia="en-CA"/>
        </w:rPr>
        <w:t>$921,738</w:t>
      </w:r>
      <w:r w:rsidR="00655DE2" w:rsidRPr="003E68B9">
        <w:rPr>
          <w:szCs w:val="24"/>
        </w:rPr>
        <w:t xml:space="preserve">. </w:t>
      </w:r>
      <w:r w:rsidR="006B64D4">
        <w:t xml:space="preserve">With the tax room </w:t>
      </w:r>
      <w:r w:rsidR="006B64D4">
        <w:lastRenderedPageBreak/>
        <w:t xml:space="preserve">transfer from the provincial government to municipal governments included in the proposed new framework, Entity </w:t>
      </w:r>
      <w:r w:rsidR="00655DE2">
        <w:t>5</w:t>
      </w:r>
      <w:r w:rsidR="006B64D4">
        <w:t xml:space="preserve">’s assessment base </w:t>
      </w:r>
      <w:r w:rsidR="006B64D4" w:rsidRPr="00C81ADA">
        <w:rPr>
          <w:szCs w:val="24"/>
        </w:rPr>
        <w:t xml:space="preserve">of </w:t>
      </w:r>
      <w:r w:rsidR="00C81ADA" w:rsidRPr="00C81ADA">
        <w:rPr>
          <w:rFonts w:eastAsia="Times New Roman"/>
          <w:color w:val="000000"/>
          <w:szCs w:val="24"/>
          <w:lang w:val="en-CA" w:eastAsia="en-CA"/>
        </w:rPr>
        <w:t>$556,189,500</w:t>
      </w:r>
      <w:r w:rsidR="00C81ADA">
        <w:rPr>
          <w:rFonts w:eastAsia="Times New Roman"/>
          <w:color w:val="000000"/>
          <w:sz w:val="20"/>
          <w:szCs w:val="20"/>
          <w:lang w:val="en-CA" w:eastAsia="en-CA"/>
        </w:rPr>
        <w:t xml:space="preserve"> </w:t>
      </w:r>
      <w:r w:rsidR="006B64D4">
        <w:t xml:space="preserve">will be able to yield more revenue than it could </w:t>
      </w:r>
      <w:r w:rsidR="00881164">
        <w:t xml:space="preserve">under the current local governance regime. </w:t>
      </w:r>
      <w:r w:rsidR="006B64D4">
        <w:t>Equal Opportunity among municipalities remains a priority in the new framework, but the primary guarantor of said equality is now tax warrants rather than equalization payments.</w:t>
      </w:r>
    </w:p>
    <w:p w14:paraId="61B53BEF" w14:textId="11B2145D" w:rsidR="00226288" w:rsidRPr="00226288" w:rsidRDefault="00226288" w:rsidP="00226288">
      <w:r w:rsidRPr="00226288">
        <w:t xml:space="preserve">Of course, this tax room transfer does not necessitate that property tax rates will increase by $1.50 per $100 of valuation across </w:t>
      </w:r>
      <w:r w:rsidR="00C16AFC">
        <w:t>Entity 5</w:t>
      </w:r>
      <w:r w:rsidRPr="00226288">
        <w:t xml:space="preserve">, nor does it indicate that the entire municipality will operate with one uniform property tax rate. </w:t>
      </w:r>
      <w:r w:rsidRPr="00226288">
        <w:rPr>
          <w:rFonts w:eastAsia="Times New Roman"/>
          <w:szCs w:val="24"/>
        </w:rPr>
        <w:t xml:space="preserve">Because </w:t>
      </w:r>
      <w:r w:rsidR="00C16AFC">
        <w:rPr>
          <w:rFonts w:eastAsia="Times New Roman"/>
          <w:szCs w:val="24"/>
        </w:rPr>
        <w:t>Entity 5</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2"/>
      </w:r>
    </w:p>
    <w:p w14:paraId="00C93790" w14:textId="619EF192"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p>
    <w:p w14:paraId="42654CD4" w14:textId="6CE7C10A" w:rsidR="00226288" w:rsidRPr="00226288" w:rsidRDefault="00226288" w:rsidP="00226288">
      <w:r w:rsidRPr="00226288">
        <w:t xml:space="preserve">Overall, then, </w:t>
      </w:r>
      <w:r w:rsidR="00C16AFC">
        <w:t>Entity 5</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226288">
      <w:pPr>
        <w:rPr>
          <w:b/>
          <w:bCs/>
        </w:rPr>
      </w:pPr>
      <w:r w:rsidRPr="00226288">
        <w:rPr>
          <w:b/>
          <w:bCs/>
        </w:rPr>
        <w:t>Division of Municipal and Provincial Responsibilities</w:t>
      </w:r>
    </w:p>
    <w:p w14:paraId="3936984A" w14:textId="2D7FD4F1"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C16AFC">
        <w:rPr>
          <w:rFonts w:eastAsia="Times New Roman"/>
          <w:szCs w:val="24"/>
        </w:rPr>
        <w:t>Entity 5</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1F8C4F7" w:rsidR="00226288" w:rsidRPr="00226288" w:rsidRDefault="00C16AFC" w:rsidP="00226288">
      <w:pPr>
        <w:rPr>
          <w:rFonts w:eastAsia="Times New Roman"/>
          <w:szCs w:val="24"/>
        </w:rPr>
      </w:pPr>
      <w:r>
        <w:rPr>
          <w:rFonts w:eastAsia="Times New Roman"/>
          <w:szCs w:val="24"/>
        </w:rPr>
        <w:t>Entity 5</w:t>
      </w:r>
      <w:r w:rsidR="00226288" w:rsidRPr="00226288">
        <w:rPr>
          <w:rFonts w:eastAsia="Times New Roman"/>
          <w:szCs w:val="24"/>
        </w:rPr>
        <w:t xml:space="preserve"> would belong to RSD </w:t>
      </w:r>
      <w:r w:rsidR="00215178">
        <w:rPr>
          <w:rFonts w:eastAsia="Times New Roman"/>
          <w:szCs w:val="24"/>
        </w:rPr>
        <w:t>1</w:t>
      </w:r>
      <w:r w:rsidR="00226288" w:rsidRPr="00226288">
        <w:rPr>
          <w:rFonts w:eastAsia="Times New Roman"/>
          <w:szCs w:val="24"/>
        </w:rPr>
        <w:t xml:space="preserve"> along with its neighbours Entities </w:t>
      </w:r>
      <w:r w:rsidR="009534A1">
        <w:rPr>
          <w:rFonts w:eastAsia="Times New Roman"/>
          <w:szCs w:val="24"/>
        </w:rPr>
        <w:t>1</w:t>
      </w:r>
      <w:r w:rsidR="00B125F3">
        <w:rPr>
          <w:rFonts w:eastAsia="Times New Roman"/>
          <w:szCs w:val="24"/>
        </w:rPr>
        <w:t xml:space="preserve"> to 6</w:t>
      </w:r>
      <w:r w:rsidR="008E30F8">
        <w:rPr>
          <w:rFonts w:eastAsia="Times New Roman"/>
          <w:szCs w:val="24"/>
        </w:rPr>
        <w:t>, covering all of Madawaska</w:t>
      </w:r>
      <w:r w:rsidR="00D746A4">
        <w:rPr>
          <w:rFonts w:eastAsia="Times New Roman"/>
          <w:szCs w:val="24"/>
        </w:rPr>
        <w:t xml:space="preserve"> county and a portion of Restigouche county</w:t>
      </w:r>
      <w:r w:rsidR="00226288" w:rsidRPr="00226288">
        <w:rPr>
          <w:rFonts w:eastAsia="Times New Roman"/>
          <w:szCs w:val="24"/>
        </w:rPr>
        <w:t xml:space="preserve">. As with each municipal entity, RSDs could conceivably be named, but this would be left to each to determine for itself. All </w:t>
      </w:r>
      <w:r w:rsidR="00FC47CF">
        <w:rPr>
          <w:rFonts w:eastAsia="Times New Roman"/>
          <w:szCs w:val="24"/>
        </w:rPr>
        <w:t>6</w:t>
      </w:r>
      <w:r w:rsidR="00226288" w:rsidRPr="00226288">
        <w:rPr>
          <w:rFonts w:eastAsia="Times New Roman"/>
          <w:szCs w:val="24"/>
        </w:rPr>
        <w:t xml:space="preserve"> entities </w:t>
      </w:r>
      <w:r w:rsidR="00226288" w:rsidRPr="00226288">
        <w:rPr>
          <w:rFonts w:eastAsia="Times New Roman"/>
          <w:szCs w:val="24"/>
        </w:rPr>
        <w:lastRenderedPageBreak/>
        <w:t>would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035C75A3" w14:textId="175771DC" w:rsidR="002F62E8"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C401EC">
        <w:rPr>
          <w:rFonts w:eastAsia="Times New Roman"/>
          <w:szCs w:val="24"/>
        </w:rPr>
        <w:t>The commuting population of RSD 1 is relatively evenly split between those who commute to work within their own community (4</w:t>
      </w:r>
      <w:r w:rsidR="00E41114">
        <w:rPr>
          <w:rFonts w:eastAsia="Times New Roman"/>
          <w:szCs w:val="24"/>
        </w:rPr>
        <w:t xml:space="preserve">6%) and those who commute to a different community within the same </w:t>
      </w:r>
      <w:r w:rsidR="00DA57E7">
        <w:rPr>
          <w:rFonts w:eastAsia="Times New Roman"/>
          <w:szCs w:val="24"/>
        </w:rPr>
        <w:t xml:space="preserve">county or </w:t>
      </w:r>
      <w:r w:rsidR="00E41114">
        <w:rPr>
          <w:rFonts w:eastAsia="Times New Roman"/>
          <w:szCs w:val="24"/>
        </w:rPr>
        <w:t>RSD</w:t>
      </w:r>
      <w:r w:rsidR="00342506">
        <w:rPr>
          <w:rFonts w:eastAsia="Times New Roman"/>
          <w:szCs w:val="24"/>
        </w:rPr>
        <w:t xml:space="preserve"> (40%). </w:t>
      </w:r>
      <w:r w:rsidR="00566246">
        <w:rPr>
          <w:rFonts w:eastAsia="Times New Roman"/>
          <w:szCs w:val="24"/>
        </w:rPr>
        <w:t xml:space="preserve">Entity 5 has comparable </w:t>
      </w:r>
      <w:r w:rsidR="00674675">
        <w:rPr>
          <w:rFonts w:eastAsia="Times New Roman"/>
          <w:szCs w:val="24"/>
        </w:rPr>
        <w:t>commuter</w:t>
      </w:r>
      <w:r w:rsidR="00566246">
        <w:rPr>
          <w:rFonts w:eastAsia="Times New Roman"/>
          <w:szCs w:val="24"/>
        </w:rPr>
        <w:t xml:space="preserve"> rates, with 46% remaining in their o</w:t>
      </w:r>
      <w:r w:rsidR="00674675">
        <w:rPr>
          <w:rFonts w:eastAsia="Times New Roman"/>
          <w:szCs w:val="24"/>
        </w:rPr>
        <w:t>wn</w:t>
      </w:r>
      <w:r w:rsidR="00566246">
        <w:rPr>
          <w:rFonts w:eastAsia="Times New Roman"/>
          <w:szCs w:val="24"/>
        </w:rPr>
        <w:t xml:space="preserve"> communities and </w:t>
      </w:r>
      <w:r w:rsidR="00674675">
        <w:rPr>
          <w:rFonts w:eastAsia="Times New Roman"/>
          <w:szCs w:val="24"/>
        </w:rPr>
        <w:t xml:space="preserve">48% travelling to a neighbouring community. </w:t>
      </w:r>
    </w:p>
    <w:p w14:paraId="7BEFB9DD" w14:textId="77777777" w:rsidR="00226288" w:rsidRPr="00226288" w:rsidRDefault="00226288" w:rsidP="00226288">
      <w:pPr>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DDA3552" w:rsidR="00226288" w:rsidRPr="00226288" w:rsidRDefault="00226288" w:rsidP="00226288">
      <w:pPr>
        <w:rPr>
          <w:rFonts w:eastAsia="Times New Roman"/>
          <w:szCs w:val="24"/>
        </w:rPr>
      </w:pPr>
      <w:r w:rsidRPr="00226288">
        <w:rPr>
          <w:rFonts w:eastAsia="Times New Roman"/>
          <w:szCs w:val="24"/>
        </w:rPr>
        <w:t xml:space="preserve">Overall, </w:t>
      </w:r>
      <w:r w:rsidR="00C16AFC">
        <w:rPr>
          <w:rFonts w:eastAsia="Times New Roman"/>
          <w:szCs w:val="24"/>
        </w:rPr>
        <w:t>Entity 5</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AD3B4" w14:textId="77777777" w:rsidR="00231B73" w:rsidRDefault="00231B73" w:rsidP="00533253">
      <w:pPr>
        <w:spacing w:after="0" w:line="240" w:lineRule="auto"/>
      </w:pPr>
      <w:r>
        <w:separator/>
      </w:r>
    </w:p>
  </w:endnote>
  <w:endnote w:type="continuationSeparator" w:id="0">
    <w:p w14:paraId="757129B7" w14:textId="77777777" w:rsidR="00231B73" w:rsidRDefault="00231B73"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C3D9C" w14:textId="77777777" w:rsidR="00231B73" w:rsidRDefault="00231B73" w:rsidP="00533253">
      <w:pPr>
        <w:spacing w:after="0" w:line="240" w:lineRule="auto"/>
      </w:pPr>
      <w:r>
        <w:separator/>
      </w:r>
    </w:p>
  </w:footnote>
  <w:footnote w:type="continuationSeparator" w:id="0">
    <w:p w14:paraId="77601F99" w14:textId="77777777" w:rsidR="00231B73" w:rsidRDefault="00231B73" w:rsidP="00533253">
      <w:pPr>
        <w:spacing w:after="0" w:line="240" w:lineRule="auto"/>
      </w:pPr>
      <w:r>
        <w:continuationSeparator/>
      </w:r>
    </w:p>
  </w:footnote>
  <w:footnote w:id="1">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2">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11EC1"/>
    <w:rsid w:val="000238B0"/>
    <w:rsid w:val="000259AF"/>
    <w:rsid w:val="00025F29"/>
    <w:rsid w:val="00031BC5"/>
    <w:rsid w:val="000356BA"/>
    <w:rsid w:val="000361EA"/>
    <w:rsid w:val="0004189C"/>
    <w:rsid w:val="00050419"/>
    <w:rsid w:val="00054665"/>
    <w:rsid w:val="00061B5D"/>
    <w:rsid w:val="00066E2D"/>
    <w:rsid w:val="0006709B"/>
    <w:rsid w:val="0007121F"/>
    <w:rsid w:val="000726CD"/>
    <w:rsid w:val="00081AC4"/>
    <w:rsid w:val="000832B3"/>
    <w:rsid w:val="000947F5"/>
    <w:rsid w:val="0009529B"/>
    <w:rsid w:val="000A372D"/>
    <w:rsid w:val="000A4D7C"/>
    <w:rsid w:val="000A6251"/>
    <w:rsid w:val="000B3B59"/>
    <w:rsid w:val="000B543A"/>
    <w:rsid w:val="000C0824"/>
    <w:rsid w:val="000C30F7"/>
    <w:rsid w:val="000D0C37"/>
    <w:rsid w:val="000D539E"/>
    <w:rsid w:val="000E0371"/>
    <w:rsid w:val="000F7938"/>
    <w:rsid w:val="0010084F"/>
    <w:rsid w:val="001010F7"/>
    <w:rsid w:val="0010753B"/>
    <w:rsid w:val="001120C5"/>
    <w:rsid w:val="0012393A"/>
    <w:rsid w:val="001333B6"/>
    <w:rsid w:val="0013553C"/>
    <w:rsid w:val="001434FE"/>
    <w:rsid w:val="00144572"/>
    <w:rsid w:val="00156AEF"/>
    <w:rsid w:val="001618D5"/>
    <w:rsid w:val="00163993"/>
    <w:rsid w:val="001713C5"/>
    <w:rsid w:val="00182F1D"/>
    <w:rsid w:val="0018703C"/>
    <w:rsid w:val="00191519"/>
    <w:rsid w:val="00195492"/>
    <w:rsid w:val="001961F9"/>
    <w:rsid w:val="001A0135"/>
    <w:rsid w:val="001A4616"/>
    <w:rsid w:val="001A5D0F"/>
    <w:rsid w:val="001C2040"/>
    <w:rsid w:val="001C359A"/>
    <w:rsid w:val="001D00C9"/>
    <w:rsid w:val="001F35C3"/>
    <w:rsid w:val="001F57F4"/>
    <w:rsid w:val="001F6F3C"/>
    <w:rsid w:val="001F7C93"/>
    <w:rsid w:val="00200EE0"/>
    <w:rsid w:val="002025E6"/>
    <w:rsid w:val="00203CFE"/>
    <w:rsid w:val="00205CFB"/>
    <w:rsid w:val="002120AC"/>
    <w:rsid w:val="0021316D"/>
    <w:rsid w:val="00214405"/>
    <w:rsid w:val="00215178"/>
    <w:rsid w:val="00217691"/>
    <w:rsid w:val="00224499"/>
    <w:rsid w:val="00226288"/>
    <w:rsid w:val="002271ED"/>
    <w:rsid w:val="002300B3"/>
    <w:rsid w:val="00231B73"/>
    <w:rsid w:val="002325B6"/>
    <w:rsid w:val="0023283B"/>
    <w:rsid w:val="00234790"/>
    <w:rsid w:val="00242CFD"/>
    <w:rsid w:val="00246CF0"/>
    <w:rsid w:val="00255EFF"/>
    <w:rsid w:val="00263EA3"/>
    <w:rsid w:val="0027002D"/>
    <w:rsid w:val="00273118"/>
    <w:rsid w:val="00275F78"/>
    <w:rsid w:val="002821E2"/>
    <w:rsid w:val="0028389A"/>
    <w:rsid w:val="0028792A"/>
    <w:rsid w:val="00290DE5"/>
    <w:rsid w:val="00291052"/>
    <w:rsid w:val="00293FAE"/>
    <w:rsid w:val="00296040"/>
    <w:rsid w:val="002C3552"/>
    <w:rsid w:val="002D4526"/>
    <w:rsid w:val="002E0EF6"/>
    <w:rsid w:val="002F043D"/>
    <w:rsid w:val="002F2119"/>
    <w:rsid w:val="002F42D3"/>
    <w:rsid w:val="002F6043"/>
    <w:rsid w:val="002F62E8"/>
    <w:rsid w:val="002F6FA4"/>
    <w:rsid w:val="003011C3"/>
    <w:rsid w:val="0030415E"/>
    <w:rsid w:val="003055AC"/>
    <w:rsid w:val="00307880"/>
    <w:rsid w:val="00313389"/>
    <w:rsid w:val="003152BF"/>
    <w:rsid w:val="00317DEF"/>
    <w:rsid w:val="003219CB"/>
    <w:rsid w:val="0032204E"/>
    <w:rsid w:val="0032259E"/>
    <w:rsid w:val="00326D5B"/>
    <w:rsid w:val="00331342"/>
    <w:rsid w:val="00333276"/>
    <w:rsid w:val="00340E57"/>
    <w:rsid w:val="00342506"/>
    <w:rsid w:val="00343F5F"/>
    <w:rsid w:val="00344A46"/>
    <w:rsid w:val="003459DA"/>
    <w:rsid w:val="00351F4C"/>
    <w:rsid w:val="00354F92"/>
    <w:rsid w:val="00365826"/>
    <w:rsid w:val="00365E92"/>
    <w:rsid w:val="0036789A"/>
    <w:rsid w:val="0038365B"/>
    <w:rsid w:val="00386C93"/>
    <w:rsid w:val="003975CE"/>
    <w:rsid w:val="003A431A"/>
    <w:rsid w:val="003A4C02"/>
    <w:rsid w:val="003B18DC"/>
    <w:rsid w:val="003B1FCD"/>
    <w:rsid w:val="003B3F3D"/>
    <w:rsid w:val="003B448F"/>
    <w:rsid w:val="003C47BF"/>
    <w:rsid w:val="003D3F4B"/>
    <w:rsid w:val="003E381F"/>
    <w:rsid w:val="003E41B8"/>
    <w:rsid w:val="003E72E2"/>
    <w:rsid w:val="003F6376"/>
    <w:rsid w:val="00400690"/>
    <w:rsid w:val="00410A7C"/>
    <w:rsid w:val="00413C87"/>
    <w:rsid w:val="00416A76"/>
    <w:rsid w:val="00417737"/>
    <w:rsid w:val="00417F02"/>
    <w:rsid w:val="00420653"/>
    <w:rsid w:val="00426356"/>
    <w:rsid w:val="00431ACD"/>
    <w:rsid w:val="00433159"/>
    <w:rsid w:val="004357F8"/>
    <w:rsid w:val="004358AB"/>
    <w:rsid w:val="00436353"/>
    <w:rsid w:val="00441FE2"/>
    <w:rsid w:val="004443C2"/>
    <w:rsid w:val="00447790"/>
    <w:rsid w:val="0045117A"/>
    <w:rsid w:val="00452AB5"/>
    <w:rsid w:val="00456C6D"/>
    <w:rsid w:val="004570D0"/>
    <w:rsid w:val="004576A5"/>
    <w:rsid w:val="0047091C"/>
    <w:rsid w:val="004711F9"/>
    <w:rsid w:val="0047285E"/>
    <w:rsid w:val="004803CE"/>
    <w:rsid w:val="00482DBE"/>
    <w:rsid w:val="004832BE"/>
    <w:rsid w:val="00492DEB"/>
    <w:rsid w:val="00495F46"/>
    <w:rsid w:val="00497B75"/>
    <w:rsid w:val="004A420D"/>
    <w:rsid w:val="004B0C32"/>
    <w:rsid w:val="004B618F"/>
    <w:rsid w:val="004C36B5"/>
    <w:rsid w:val="004C7794"/>
    <w:rsid w:val="004D2B1B"/>
    <w:rsid w:val="004D3EFB"/>
    <w:rsid w:val="004D50FF"/>
    <w:rsid w:val="004D57D8"/>
    <w:rsid w:val="004E778B"/>
    <w:rsid w:val="004F155E"/>
    <w:rsid w:val="004F18A7"/>
    <w:rsid w:val="004F7378"/>
    <w:rsid w:val="00503E48"/>
    <w:rsid w:val="00510189"/>
    <w:rsid w:val="00521FC4"/>
    <w:rsid w:val="005238F9"/>
    <w:rsid w:val="005262CC"/>
    <w:rsid w:val="00526874"/>
    <w:rsid w:val="00533253"/>
    <w:rsid w:val="005335FD"/>
    <w:rsid w:val="005336CE"/>
    <w:rsid w:val="00536AD2"/>
    <w:rsid w:val="00540C77"/>
    <w:rsid w:val="00542F95"/>
    <w:rsid w:val="00544386"/>
    <w:rsid w:val="00552C7D"/>
    <w:rsid w:val="00553C6E"/>
    <w:rsid w:val="00554D0E"/>
    <w:rsid w:val="00560445"/>
    <w:rsid w:val="00566246"/>
    <w:rsid w:val="00572114"/>
    <w:rsid w:val="005724E0"/>
    <w:rsid w:val="005757F8"/>
    <w:rsid w:val="00576659"/>
    <w:rsid w:val="0058123A"/>
    <w:rsid w:val="0058723C"/>
    <w:rsid w:val="00587D02"/>
    <w:rsid w:val="00593BF0"/>
    <w:rsid w:val="005A202C"/>
    <w:rsid w:val="005A2167"/>
    <w:rsid w:val="005A324E"/>
    <w:rsid w:val="005B0633"/>
    <w:rsid w:val="005B0918"/>
    <w:rsid w:val="005B1A0B"/>
    <w:rsid w:val="005C104F"/>
    <w:rsid w:val="005C78EF"/>
    <w:rsid w:val="005C799D"/>
    <w:rsid w:val="005E55E4"/>
    <w:rsid w:val="005F24A5"/>
    <w:rsid w:val="005F4057"/>
    <w:rsid w:val="0060390E"/>
    <w:rsid w:val="006040A2"/>
    <w:rsid w:val="00610721"/>
    <w:rsid w:val="00612EFD"/>
    <w:rsid w:val="00624FDC"/>
    <w:rsid w:val="00626347"/>
    <w:rsid w:val="00631D13"/>
    <w:rsid w:val="006406FC"/>
    <w:rsid w:val="00641FCF"/>
    <w:rsid w:val="006437C2"/>
    <w:rsid w:val="006551B6"/>
    <w:rsid w:val="00655DE2"/>
    <w:rsid w:val="006635AB"/>
    <w:rsid w:val="006666D0"/>
    <w:rsid w:val="00670E6D"/>
    <w:rsid w:val="00671D38"/>
    <w:rsid w:val="006736F1"/>
    <w:rsid w:val="00673A59"/>
    <w:rsid w:val="00674675"/>
    <w:rsid w:val="00675291"/>
    <w:rsid w:val="00677F07"/>
    <w:rsid w:val="00680EEB"/>
    <w:rsid w:val="00681B61"/>
    <w:rsid w:val="00681C2B"/>
    <w:rsid w:val="00681F3B"/>
    <w:rsid w:val="00693E2B"/>
    <w:rsid w:val="00697AEA"/>
    <w:rsid w:val="006B64D4"/>
    <w:rsid w:val="006C719D"/>
    <w:rsid w:val="006D6A15"/>
    <w:rsid w:val="006E13F5"/>
    <w:rsid w:val="006E18B2"/>
    <w:rsid w:val="006F1B6E"/>
    <w:rsid w:val="006F202E"/>
    <w:rsid w:val="006F51A6"/>
    <w:rsid w:val="006F5401"/>
    <w:rsid w:val="00705490"/>
    <w:rsid w:val="00714BE0"/>
    <w:rsid w:val="00715B3D"/>
    <w:rsid w:val="007218E7"/>
    <w:rsid w:val="00722628"/>
    <w:rsid w:val="00722C51"/>
    <w:rsid w:val="0072646B"/>
    <w:rsid w:val="007266D3"/>
    <w:rsid w:val="00733139"/>
    <w:rsid w:val="00737C46"/>
    <w:rsid w:val="007540B3"/>
    <w:rsid w:val="0075617E"/>
    <w:rsid w:val="00756739"/>
    <w:rsid w:val="00761CCB"/>
    <w:rsid w:val="00765957"/>
    <w:rsid w:val="00767704"/>
    <w:rsid w:val="00770EF9"/>
    <w:rsid w:val="00772156"/>
    <w:rsid w:val="00774628"/>
    <w:rsid w:val="007767E0"/>
    <w:rsid w:val="007830AE"/>
    <w:rsid w:val="00783948"/>
    <w:rsid w:val="00784B4D"/>
    <w:rsid w:val="007864C8"/>
    <w:rsid w:val="007870B9"/>
    <w:rsid w:val="0079085C"/>
    <w:rsid w:val="00790F0F"/>
    <w:rsid w:val="007A6BD4"/>
    <w:rsid w:val="007C1C58"/>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21215"/>
    <w:rsid w:val="0082340E"/>
    <w:rsid w:val="00826FF4"/>
    <w:rsid w:val="00834815"/>
    <w:rsid w:val="00835E77"/>
    <w:rsid w:val="00840403"/>
    <w:rsid w:val="00842249"/>
    <w:rsid w:val="00852005"/>
    <w:rsid w:val="00853E3A"/>
    <w:rsid w:val="00855D67"/>
    <w:rsid w:val="0086227A"/>
    <w:rsid w:val="00862A5B"/>
    <w:rsid w:val="00872051"/>
    <w:rsid w:val="00876569"/>
    <w:rsid w:val="00877A83"/>
    <w:rsid w:val="00880DC2"/>
    <w:rsid w:val="00881164"/>
    <w:rsid w:val="00886CC5"/>
    <w:rsid w:val="00890F6D"/>
    <w:rsid w:val="0089636A"/>
    <w:rsid w:val="008963E5"/>
    <w:rsid w:val="008A1EA6"/>
    <w:rsid w:val="008A3666"/>
    <w:rsid w:val="008A3772"/>
    <w:rsid w:val="008B286B"/>
    <w:rsid w:val="008B3CB3"/>
    <w:rsid w:val="008C082C"/>
    <w:rsid w:val="008C5776"/>
    <w:rsid w:val="008C5E9C"/>
    <w:rsid w:val="008D4F96"/>
    <w:rsid w:val="008D5897"/>
    <w:rsid w:val="008D69C8"/>
    <w:rsid w:val="008D7001"/>
    <w:rsid w:val="008E30F8"/>
    <w:rsid w:val="008E5BF4"/>
    <w:rsid w:val="008F1A52"/>
    <w:rsid w:val="008F3D10"/>
    <w:rsid w:val="0090316A"/>
    <w:rsid w:val="009106B0"/>
    <w:rsid w:val="00910DAD"/>
    <w:rsid w:val="009113A3"/>
    <w:rsid w:val="00914776"/>
    <w:rsid w:val="00915C3C"/>
    <w:rsid w:val="00916094"/>
    <w:rsid w:val="00930141"/>
    <w:rsid w:val="00937062"/>
    <w:rsid w:val="0094032D"/>
    <w:rsid w:val="009407F0"/>
    <w:rsid w:val="009534A1"/>
    <w:rsid w:val="00964426"/>
    <w:rsid w:val="00973562"/>
    <w:rsid w:val="00975BA7"/>
    <w:rsid w:val="00984D6A"/>
    <w:rsid w:val="00986C0D"/>
    <w:rsid w:val="00993AFC"/>
    <w:rsid w:val="009A2CEB"/>
    <w:rsid w:val="009A3B95"/>
    <w:rsid w:val="009A458A"/>
    <w:rsid w:val="009A54EE"/>
    <w:rsid w:val="009A6210"/>
    <w:rsid w:val="009B1567"/>
    <w:rsid w:val="009B353D"/>
    <w:rsid w:val="009C3F94"/>
    <w:rsid w:val="009C400F"/>
    <w:rsid w:val="009C5A8A"/>
    <w:rsid w:val="009C610A"/>
    <w:rsid w:val="009D3B76"/>
    <w:rsid w:val="009E008A"/>
    <w:rsid w:val="009E0814"/>
    <w:rsid w:val="009E1870"/>
    <w:rsid w:val="009E27E2"/>
    <w:rsid w:val="009E282B"/>
    <w:rsid w:val="009E34FE"/>
    <w:rsid w:val="00A00C83"/>
    <w:rsid w:val="00A02383"/>
    <w:rsid w:val="00A03051"/>
    <w:rsid w:val="00A04221"/>
    <w:rsid w:val="00A20D5A"/>
    <w:rsid w:val="00A25514"/>
    <w:rsid w:val="00A26BCF"/>
    <w:rsid w:val="00A36538"/>
    <w:rsid w:val="00A41E32"/>
    <w:rsid w:val="00A45579"/>
    <w:rsid w:val="00A47131"/>
    <w:rsid w:val="00A47308"/>
    <w:rsid w:val="00A622F8"/>
    <w:rsid w:val="00A65366"/>
    <w:rsid w:val="00A656D7"/>
    <w:rsid w:val="00A66519"/>
    <w:rsid w:val="00A67066"/>
    <w:rsid w:val="00A76976"/>
    <w:rsid w:val="00A8263D"/>
    <w:rsid w:val="00A835ED"/>
    <w:rsid w:val="00A92519"/>
    <w:rsid w:val="00AA1DDD"/>
    <w:rsid w:val="00AA2F30"/>
    <w:rsid w:val="00AA5A47"/>
    <w:rsid w:val="00AB64B7"/>
    <w:rsid w:val="00AC341A"/>
    <w:rsid w:val="00AC5DB2"/>
    <w:rsid w:val="00AC70B5"/>
    <w:rsid w:val="00AD6300"/>
    <w:rsid w:val="00AE1691"/>
    <w:rsid w:val="00AE3796"/>
    <w:rsid w:val="00AE3CB9"/>
    <w:rsid w:val="00AE4C15"/>
    <w:rsid w:val="00AF35D4"/>
    <w:rsid w:val="00AF6180"/>
    <w:rsid w:val="00B00DE4"/>
    <w:rsid w:val="00B04902"/>
    <w:rsid w:val="00B04E40"/>
    <w:rsid w:val="00B04E8A"/>
    <w:rsid w:val="00B06644"/>
    <w:rsid w:val="00B125F3"/>
    <w:rsid w:val="00B2583B"/>
    <w:rsid w:val="00B27530"/>
    <w:rsid w:val="00B34A7B"/>
    <w:rsid w:val="00B3507E"/>
    <w:rsid w:val="00B478D5"/>
    <w:rsid w:val="00B51104"/>
    <w:rsid w:val="00B53197"/>
    <w:rsid w:val="00B53E52"/>
    <w:rsid w:val="00B57FE0"/>
    <w:rsid w:val="00B61A5B"/>
    <w:rsid w:val="00B6278E"/>
    <w:rsid w:val="00B72F6F"/>
    <w:rsid w:val="00B86345"/>
    <w:rsid w:val="00B8661E"/>
    <w:rsid w:val="00B87C75"/>
    <w:rsid w:val="00B9087E"/>
    <w:rsid w:val="00B908A9"/>
    <w:rsid w:val="00B94F9A"/>
    <w:rsid w:val="00B95616"/>
    <w:rsid w:val="00BA10DF"/>
    <w:rsid w:val="00BA1272"/>
    <w:rsid w:val="00BA185C"/>
    <w:rsid w:val="00BA73EA"/>
    <w:rsid w:val="00BB3750"/>
    <w:rsid w:val="00BB70AE"/>
    <w:rsid w:val="00BC13F1"/>
    <w:rsid w:val="00BC277B"/>
    <w:rsid w:val="00BD1793"/>
    <w:rsid w:val="00BE1438"/>
    <w:rsid w:val="00BE3C41"/>
    <w:rsid w:val="00BE42B4"/>
    <w:rsid w:val="00BE43FB"/>
    <w:rsid w:val="00BE604A"/>
    <w:rsid w:val="00BF7E3F"/>
    <w:rsid w:val="00C063AA"/>
    <w:rsid w:val="00C06DB3"/>
    <w:rsid w:val="00C132BD"/>
    <w:rsid w:val="00C16AFC"/>
    <w:rsid w:val="00C16DEF"/>
    <w:rsid w:val="00C23179"/>
    <w:rsid w:val="00C23508"/>
    <w:rsid w:val="00C36321"/>
    <w:rsid w:val="00C36E11"/>
    <w:rsid w:val="00C401EC"/>
    <w:rsid w:val="00C47068"/>
    <w:rsid w:val="00C50350"/>
    <w:rsid w:val="00C52D0C"/>
    <w:rsid w:val="00C65D8B"/>
    <w:rsid w:val="00C815EB"/>
    <w:rsid w:val="00C81ADA"/>
    <w:rsid w:val="00C8586B"/>
    <w:rsid w:val="00C942CD"/>
    <w:rsid w:val="00CA3C0E"/>
    <w:rsid w:val="00CA5586"/>
    <w:rsid w:val="00CA7412"/>
    <w:rsid w:val="00CA77DD"/>
    <w:rsid w:val="00CB1A28"/>
    <w:rsid w:val="00CB38DB"/>
    <w:rsid w:val="00CB62EA"/>
    <w:rsid w:val="00CC3095"/>
    <w:rsid w:val="00CC4CA8"/>
    <w:rsid w:val="00CD12F5"/>
    <w:rsid w:val="00CE7A05"/>
    <w:rsid w:val="00CF02AF"/>
    <w:rsid w:val="00CF1F1C"/>
    <w:rsid w:val="00D02067"/>
    <w:rsid w:val="00D03E8D"/>
    <w:rsid w:val="00D05172"/>
    <w:rsid w:val="00D07BC3"/>
    <w:rsid w:val="00D11F53"/>
    <w:rsid w:val="00D1236C"/>
    <w:rsid w:val="00D17292"/>
    <w:rsid w:val="00D21261"/>
    <w:rsid w:val="00D2549C"/>
    <w:rsid w:val="00D27FE3"/>
    <w:rsid w:val="00D30B7F"/>
    <w:rsid w:val="00D31C6B"/>
    <w:rsid w:val="00D3691A"/>
    <w:rsid w:val="00D41B44"/>
    <w:rsid w:val="00D459CC"/>
    <w:rsid w:val="00D503EA"/>
    <w:rsid w:val="00D52E91"/>
    <w:rsid w:val="00D5651B"/>
    <w:rsid w:val="00D62F71"/>
    <w:rsid w:val="00D66F81"/>
    <w:rsid w:val="00D72EE0"/>
    <w:rsid w:val="00D746A4"/>
    <w:rsid w:val="00D74936"/>
    <w:rsid w:val="00D76F1D"/>
    <w:rsid w:val="00D804CC"/>
    <w:rsid w:val="00D87F73"/>
    <w:rsid w:val="00D93B90"/>
    <w:rsid w:val="00D94D4B"/>
    <w:rsid w:val="00D965E7"/>
    <w:rsid w:val="00DA57E7"/>
    <w:rsid w:val="00DA588C"/>
    <w:rsid w:val="00DA6D14"/>
    <w:rsid w:val="00DB11A2"/>
    <w:rsid w:val="00DB4886"/>
    <w:rsid w:val="00DC1D89"/>
    <w:rsid w:val="00DC3C74"/>
    <w:rsid w:val="00DC5957"/>
    <w:rsid w:val="00DC75B9"/>
    <w:rsid w:val="00DD0ADF"/>
    <w:rsid w:val="00DD1922"/>
    <w:rsid w:val="00DD457E"/>
    <w:rsid w:val="00DD49DF"/>
    <w:rsid w:val="00DD6077"/>
    <w:rsid w:val="00DD6701"/>
    <w:rsid w:val="00DE2662"/>
    <w:rsid w:val="00DE4CF7"/>
    <w:rsid w:val="00DE71DC"/>
    <w:rsid w:val="00DF23A1"/>
    <w:rsid w:val="00DF39F7"/>
    <w:rsid w:val="00E0218D"/>
    <w:rsid w:val="00E1004A"/>
    <w:rsid w:val="00E16335"/>
    <w:rsid w:val="00E308F4"/>
    <w:rsid w:val="00E30DC8"/>
    <w:rsid w:val="00E316AF"/>
    <w:rsid w:val="00E33A22"/>
    <w:rsid w:val="00E350B4"/>
    <w:rsid w:val="00E41114"/>
    <w:rsid w:val="00E41968"/>
    <w:rsid w:val="00E44DC0"/>
    <w:rsid w:val="00E55335"/>
    <w:rsid w:val="00E55D8B"/>
    <w:rsid w:val="00E5681A"/>
    <w:rsid w:val="00E6046B"/>
    <w:rsid w:val="00E64543"/>
    <w:rsid w:val="00E86C0E"/>
    <w:rsid w:val="00EA274B"/>
    <w:rsid w:val="00EA7CDE"/>
    <w:rsid w:val="00EB0362"/>
    <w:rsid w:val="00EC02C5"/>
    <w:rsid w:val="00EC452B"/>
    <w:rsid w:val="00EC71A3"/>
    <w:rsid w:val="00ED702F"/>
    <w:rsid w:val="00EE1061"/>
    <w:rsid w:val="00EE797B"/>
    <w:rsid w:val="00F0075E"/>
    <w:rsid w:val="00F04726"/>
    <w:rsid w:val="00F06AB9"/>
    <w:rsid w:val="00F14B01"/>
    <w:rsid w:val="00F32FFB"/>
    <w:rsid w:val="00F33C87"/>
    <w:rsid w:val="00F344C7"/>
    <w:rsid w:val="00F4188B"/>
    <w:rsid w:val="00F41ED4"/>
    <w:rsid w:val="00F43A14"/>
    <w:rsid w:val="00F44896"/>
    <w:rsid w:val="00F52FA7"/>
    <w:rsid w:val="00F534B9"/>
    <w:rsid w:val="00F567EC"/>
    <w:rsid w:val="00F601D1"/>
    <w:rsid w:val="00F622A7"/>
    <w:rsid w:val="00F63306"/>
    <w:rsid w:val="00F64E85"/>
    <w:rsid w:val="00F6557B"/>
    <w:rsid w:val="00F7126C"/>
    <w:rsid w:val="00F738DC"/>
    <w:rsid w:val="00F7536C"/>
    <w:rsid w:val="00F76586"/>
    <w:rsid w:val="00F77D1F"/>
    <w:rsid w:val="00F91D75"/>
    <w:rsid w:val="00FA21A7"/>
    <w:rsid w:val="00FA4291"/>
    <w:rsid w:val="00FC404B"/>
    <w:rsid w:val="00FC47CF"/>
    <w:rsid w:val="00FC527C"/>
    <w:rsid w:val="00FC5436"/>
    <w:rsid w:val="00FC5FDF"/>
    <w:rsid w:val="00FD54A3"/>
    <w:rsid w:val="00FD597E"/>
    <w:rsid w:val="00FE344B"/>
    <w:rsid w:val="00FE6560"/>
    <w:rsid w:val="00FE7ED2"/>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28086">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1129593604">
      <w:bodyDiv w:val="1"/>
      <w:marLeft w:val="0"/>
      <w:marRight w:val="0"/>
      <w:marTop w:val="0"/>
      <w:marBottom w:val="0"/>
      <w:divBdr>
        <w:top w:val="none" w:sz="0" w:space="0" w:color="auto"/>
        <w:left w:val="none" w:sz="0" w:space="0" w:color="auto"/>
        <w:bottom w:val="none" w:sz="0" w:space="0" w:color="auto"/>
        <w:right w:val="none" w:sz="0" w:space="0" w:color="auto"/>
      </w:divBdr>
    </w:div>
    <w:div w:id="115988378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AAA5-7420-42C6-AF97-7AC466419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52</cp:revision>
  <dcterms:created xsi:type="dcterms:W3CDTF">2020-04-06T16:24:00Z</dcterms:created>
  <dcterms:modified xsi:type="dcterms:W3CDTF">2020-05-29T18:45:00Z</dcterms:modified>
</cp:coreProperties>
</file>