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9A13B" w14:textId="4F246408" w:rsidR="00226288" w:rsidRPr="00226288" w:rsidRDefault="00226288" w:rsidP="00656FBB">
      <w:pPr>
        <w:spacing w:line="480" w:lineRule="auto"/>
        <w:contextualSpacing/>
      </w:pPr>
      <w:r w:rsidRPr="00226288">
        <w:t xml:space="preserve">An </w:t>
      </w:r>
      <w:r w:rsidR="00081AC4">
        <w:t>Image</w:t>
      </w:r>
      <w:r w:rsidRPr="00226288">
        <w:t xml:space="preserve"> of the Future – </w:t>
      </w:r>
      <w:r w:rsidR="00866A57">
        <w:t>Entity 53</w:t>
      </w:r>
      <w:r w:rsidRPr="00226288">
        <w:t xml:space="preserve"> and Regional Service District </w:t>
      </w:r>
      <w:r w:rsidR="00081AC4">
        <w:t>1</w:t>
      </w:r>
      <w:r w:rsidR="00813AB0">
        <w:t>2</w:t>
      </w:r>
    </w:p>
    <w:p w14:paraId="70CB123F" w14:textId="72A12AD4" w:rsidR="00226288" w:rsidRPr="00226288" w:rsidRDefault="00861ACC" w:rsidP="00514622">
      <w:pPr>
        <w:jc w:val="both"/>
        <w:rPr>
          <w:rFonts w:eastAsia="Times New Roman"/>
        </w:rPr>
      </w:pPr>
      <w:r>
        <w:rPr>
          <w:noProof/>
          <w:szCs w:val="24"/>
        </w:rPr>
        <w:drawing>
          <wp:anchor distT="0" distB="0" distL="114300" distR="114300" simplePos="0" relativeHeight="251655680" behindDoc="0" locked="0" layoutInCell="1" allowOverlap="1" wp14:anchorId="4E73665D" wp14:editId="2F680019">
            <wp:simplePos x="0" y="0"/>
            <wp:positionH relativeFrom="column">
              <wp:posOffset>2638700</wp:posOffset>
            </wp:positionH>
            <wp:positionV relativeFrom="paragraph">
              <wp:posOffset>1176020</wp:posOffset>
            </wp:positionV>
            <wp:extent cx="3306742" cy="2635122"/>
            <wp:effectExtent l="0" t="0" r="8255" b="0"/>
            <wp:wrapThrough wrapText="bothSides">
              <wp:wrapPolygon edited="0">
                <wp:start x="249" y="0"/>
                <wp:lineTo x="0" y="469"/>
                <wp:lineTo x="0" y="20460"/>
                <wp:lineTo x="124" y="21241"/>
                <wp:lineTo x="249" y="21397"/>
                <wp:lineTo x="21281" y="21397"/>
                <wp:lineTo x="21405" y="21241"/>
                <wp:lineTo x="21529" y="20460"/>
                <wp:lineTo x="21529" y="469"/>
                <wp:lineTo x="21281" y="0"/>
                <wp:lineTo x="249"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812" t="3380" r="749" b="54008"/>
                    <a:stretch/>
                  </pic:blipFill>
                  <pic:spPr bwMode="auto">
                    <a:xfrm>
                      <a:off x="0" y="0"/>
                      <a:ext cx="3306742" cy="2635122"/>
                    </a:xfrm>
                    <a:prstGeom prst="rect">
                      <a:avLst/>
                    </a:prstGeom>
                    <a:noFill/>
                    <a:ln>
                      <a:noFill/>
                    </a:ln>
                    <a:effectLst>
                      <a:softEdge rad="1016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6288" w:rsidRPr="00226288">
        <w:rPr>
          <w:rFonts w:eastAsia="Times New Roman"/>
        </w:rPr>
        <w:t xml:space="preserve">To illustrate the benefits of this new framework, take the example of </w:t>
      </w:r>
      <w:r w:rsidR="00866A57">
        <w:rPr>
          <w:rFonts w:eastAsia="Times New Roman"/>
        </w:rPr>
        <w:t>Entity 53</w:t>
      </w:r>
      <w:r w:rsidR="006736F1">
        <w:rPr>
          <w:rFonts w:eastAsia="Times New Roman"/>
        </w:rPr>
        <w:t>.</w:t>
      </w:r>
      <w:r w:rsidR="00226288" w:rsidRPr="00226288">
        <w:rPr>
          <w:rFonts w:eastAsia="Times New Roman"/>
        </w:rPr>
        <w:t xml:space="preserve"> For the duration of this discussion the municipality shall be referred to as </w:t>
      </w:r>
      <w:r w:rsidR="00866A57">
        <w:rPr>
          <w:rFonts w:eastAsia="Times New Roman"/>
        </w:rPr>
        <w:t>Entity 53</w:t>
      </w:r>
      <w:r w:rsidR="00226288" w:rsidRPr="00226288">
        <w:rPr>
          <w:rFonts w:eastAsia="Times New Roman"/>
        </w:rPr>
        <w:t xml:space="preserve">, as while the municipality could conceivably adopt </w:t>
      </w:r>
      <w:proofErr w:type="spellStart"/>
      <w:r w:rsidR="00375FE6">
        <w:rPr>
          <w:rFonts w:eastAsia="Times New Roman"/>
        </w:rPr>
        <w:t>Florenceville</w:t>
      </w:r>
      <w:proofErr w:type="spellEnd"/>
      <w:r w:rsidR="00375FE6">
        <w:rPr>
          <w:rFonts w:eastAsia="Times New Roman"/>
        </w:rPr>
        <w:t>-Bristol</w:t>
      </w:r>
      <w:r w:rsidR="00EC452B">
        <w:rPr>
          <w:rFonts w:eastAsia="Times New Roman"/>
        </w:rPr>
        <w:t xml:space="preserve"> or any other name</w:t>
      </w:r>
      <w:r w:rsidR="00226288" w:rsidRPr="00226288">
        <w:rPr>
          <w:rFonts w:eastAsia="Times New Roman"/>
        </w:rPr>
        <w:t xml:space="preserve">, the naming of the 53 municipal entities remains a task for the citizens of each </w:t>
      </w:r>
      <w:r w:rsidR="00EC452B">
        <w:rPr>
          <w:rFonts w:eastAsia="Times New Roman"/>
        </w:rPr>
        <w:t xml:space="preserve">proposed </w:t>
      </w:r>
      <w:r w:rsidR="00226288" w:rsidRPr="00226288">
        <w:rPr>
          <w:rFonts w:eastAsia="Times New Roman"/>
        </w:rPr>
        <w:t>entity.</w:t>
      </w:r>
      <w:r w:rsidR="00226288" w:rsidRPr="00226288">
        <w:rPr>
          <w:rFonts w:eastAsia="Times New Roman"/>
          <w:vertAlign w:val="superscript"/>
        </w:rPr>
        <w:footnoteReference w:id="2"/>
      </w:r>
      <w:r w:rsidR="00226288" w:rsidRPr="00226288">
        <w:rPr>
          <w:rFonts w:eastAsia="Times New Roman"/>
        </w:rPr>
        <w:t xml:space="preserve"> Leaving the name of each entity undetermined is an important measure for the development of sustainable new municipal identities to compliment those of the existing towns, villages, and LSDs.</w:t>
      </w:r>
    </w:p>
    <w:p w14:paraId="2FE0DCBA" w14:textId="4ABEA829" w:rsidR="00226288" w:rsidRPr="00226288" w:rsidRDefault="00226288" w:rsidP="00514622">
      <w:pPr>
        <w:jc w:val="both"/>
        <w:rPr>
          <w:b/>
          <w:bCs/>
        </w:rPr>
      </w:pPr>
      <w:r w:rsidRPr="00226288">
        <w:rPr>
          <w:rFonts w:eastAsia="Times New Roman"/>
          <w:b/>
          <w:bCs/>
        </w:rPr>
        <w:t>Geographic Boundaries</w:t>
      </w:r>
    </w:p>
    <w:p w14:paraId="77D2CE88" w14:textId="39FE6C30" w:rsidR="007C1C58" w:rsidRDefault="00866A57" w:rsidP="00514622">
      <w:pPr>
        <w:jc w:val="both"/>
        <w:rPr>
          <w:szCs w:val="24"/>
        </w:rPr>
      </w:pPr>
      <w:r>
        <w:rPr>
          <w:szCs w:val="24"/>
        </w:rPr>
        <w:t>Entity 53</w:t>
      </w:r>
      <w:r w:rsidR="00D02067">
        <w:rPr>
          <w:szCs w:val="24"/>
        </w:rPr>
        <w:t xml:space="preserve"> would be comprised of </w:t>
      </w:r>
      <w:r w:rsidR="00EC452B">
        <w:rPr>
          <w:szCs w:val="24"/>
        </w:rPr>
        <w:t xml:space="preserve">the </w:t>
      </w:r>
      <w:r w:rsidR="000B16FF">
        <w:rPr>
          <w:szCs w:val="24"/>
        </w:rPr>
        <w:t xml:space="preserve">Town of </w:t>
      </w:r>
      <w:proofErr w:type="spellStart"/>
      <w:r w:rsidR="004D2B15">
        <w:rPr>
          <w:szCs w:val="24"/>
        </w:rPr>
        <w:t>Florenceville</w:t>
      </w:r>
      <w:proofErr w:type="spellEnd"/>
      <w:r w:rsidR="004D2B15">
        <w:rPr>
          <w:szCs w:val="24"/>
        </w:rPr>
        <w:t>-Bristol</w:t>
      </w:r>
      <w:r w:rsidR="00E66DA0">
        <w:rPr>
          <w:szCs w:val="24"/>
        </w:rPr>
        <w:t>, the Villages of Centreville and Bath, and the</w:t>
      </w:r>
      <w:r w:rsidR="00F2530B">
        <w:rPr>
          <w:szCs w:val="24"/>
        </w:rPr>
        <w:t xml:space="preserve"> </w:t>
      </w:r>
      <w:r w:rsidR="00C311F0">
        <w:rPr>
          <w:szCs w:val="24"/>
        </w:rPr>
        <w:t xml:space="preserve">Lakeville, Wilmot, </w:t>
      </w:r>
      <w:proofErr w:type="spellStart"/>
      <w:r w:rsidR="00C311F0">
        <w:rPr>
          <w:szCs w:val="24"/>
        </w:rPr>
        <w:t>Wicklow</w:t>
      </w:r>
      <w:proofErr w:type="spellEnd"/>
      <w:r w:rsidR="00C311F0">
        <w:rPr>
          <w:szCs w:val="24"/>
        </w:rPr>
        <w:t xml:space="preserve">, Upper Kent, Peel, </w:t>
      </w:r>
      <w:proofErr w:type="spellStart"/>
      <w:r w:rsidR="00C311F0">
        <w:rPr>
          <w:szCs w:val="24"/>
        </w:rPr>
        <w:t>Glassville</w:t>
      </w:r>
      <w:proofErr w:type="spellEnd"/>
      <w:r w:rsidR="00C311F0">
        <w:rPr>
          <w:szCs w:val="24"/>
        </w:rPr>
        <w:t>, Aberdeen, and Kent</w:t>
      </w:r>
      <w:r w:rsidR="00C815EB">
        <w:rPr>
          <w:szCs w:val="24"/>
        </w:rPr>
        <w:t xml:space="preserve"> LSDs.</w:t>
      </w:r>
      <w:r w:rsidR="009A2CEB">
        <w:rPr>
          <w:szCs w:val="24"/>
        </w:rPr>
        <w:t xml:space="preserve"> </w:t>
      </w:r>
      <w:r w:rsidR="007C1C58">
        <w:rPr>
          <w:szCs w:val="24"/>
        </w:rPr>
        <w:t xml:space="preserve">The municipal entity </w:t>
      </w:r>
      <w:r w:rsidR="002E58B1">
        <w:rPr>
          <w:szCs w:val="24"/>
        </w:rPr>
        <w:t xml:space="preserve">would be bordered by Victoria and York counties, as well as the United States. </w:t>
      </w:r>
      <w:r w:rsidR="001B0FF6">
        <w:rPr>
          <w:szCs w:val="24"/>
        </w:rPr>
        <w:t>The only significant expanses of Crown Land would be in the Kent and Aberdeen areas.</w:t>
      </w:r>
      <w:r w:rsidR="008F227F">
        <w:rPr>
          <w:szCs w:val="24"/>
        </w:rPr>
        <w:t xml:space="preserve"> </w:t>
      </w:r>
    </w:p>
    <w:p w14:paraId="4750B350" w14:textId="0838B2E3" w:rsidR="00226288" w:rsidRPr="00226288" w:rsidRDefault="00226288" w:rsidP="00514622">
      <w:pPr>
        <w:jc w:val="both"/>
        <w:rPr>
          <w:rFonts w:eastAsia="Times New Roman"/>
          <w:b/>
          <w:bCs/>
        </w:rPr>
      </w:pPr>
      <w:r w:rsidRPr="00226288">
        <w:rPr>
          <w:rFonts w:eastAsia="Times New Roman"/>
          <w:b/>
          <w:bCs/>
        </w:rPr>
        <w:t>Demographic Base</w:t>
      </w:r>
    </w:p>
    <w:p w14:paraId="7D8A8940" w14:textId="25253674" w:rsidR="00BA73EA" w:rsidRDefault="00226288" w:rsidP="00514622">
      <w:pPr>
        <w:jc w:val="both"/>
        <w:rPr>
          <w:rFonts w:eastAsia="Times New Roman"/>
          <w:color w:val="000000" w:themeColor="text1"/>
          <w:szCs w:val="24"/>
        </w:rPr>
      </w:pPr>
      <w:r w:rsidRPr="00226288">
        <w:rPr>
          <w:rFonts w:eastAsia="Times New Roman"/>
          <w:color w:val="000000" w:themeColor="text1"/>
          <w:szCs w:val="24"/>
        </w:rPr>
        <w:t>The total population of the municipal</w:t>
      </w:r>
      <w:r w:rsidRPr="00226288">
        <w:rPr>
          <w:szCs w:val="24"/>
        </w:rPr>
        <w:t xml:space="preserve">ity </w:t>
      </w:r>
      <w:r w:rsidRPr="00226288">
        <w:rPr>
          <w:rFonts w:eastAsia="Times New Roman"/>
          <w:color w:val="000000" w:themeColor="text1"/>
          <w:szCs w:val="24"/>
        </w:rPr>
        <w:t xml:space="preserve">would be approximately </w:t>
      </w:r>
      <w:r w:rsidR="003002B5">
        <w:rPr>
          <w:szCs w:val="24"/>
        </w:rPr>
        <w:t>9400 p</w:t>
      </w:r>
      <w:r w:rsidR="006437C2">
        <w:rPr>
          <w:szCs w:val="24"/>
        </w:rPr>
        <w:t>eopl</w:t>
      </w:r>
      <w:r w:rsidR="00DF2084">
        <w:rPr>
          <w:szCs w:val="24"/>
        </w:rPr>
        <w:t>e</w:t>
      </w:r>
      <w:r w:rsidR="008F227F">
        <w:rPr>
          <w:szCs w:val="24"/>
        </w:rPr>
        <w:t xml:space="preserve">. </w:t>
      </w:r>
      <w:r w:rsidR="00DF2084">
        <w:rPr>
          <w:szCs w:val="24"/>
        </w:rPr>
        <w:t xml:space="preserve"> </w:t>
      </w:r>
      <w:r w:rsidR="0037703C">
        <w:rPr>
          <w:szCs w:val="24"/>
        </w:rPr>
        <w:t>Since 2011, this number had declined, but remained relatively stable</w:t>
      </w:r>
      <w:r w:rsidR="007C1C58">
        <w:rPr>
          <w:szCs w:val="24"/>
        </w:rPr>
        <w:t xml:space="preserve">. </w:t>
      </w:r>
      <w:r w:rsidR="00BA73EA" w:rsidRPr="00226288">
        <w:rPr>
          <w:rFonts w:eastAsia="Times New Roman"/>
          <w:color w:val="000000" w:themeColor="text1"/>
          <w:szCs w:val="24"/>
        </w:rPr>
        <w:t xml:space="preserve">In accordance with the </w:t>
      </w:r>
      <w:r w:rsidR="00BA73EA" w:rsidRPr="00226288">
        <w:rPr>
          <w:rFonts w:eastAsia="Times New Roman"/>
          <w:i/>
          <w:iCs/>
          <w:color w:val="000000" w:themeColor="text1"/>
          <w:szCs w:val="24"/>
        </w:rPr>
        <w:t>Official Languages Act</w:t>
      </w:r>
      <w:r w:rsidR="00BA73EA" w:rsidRPr="00226288">
        <w:rPr>
          <w:rFonts w:eastAsia="Times New Roman"/>
          <w:color w:val="000000" w:themeColor="text1"/>
          <w:szCs w:val="24"/>
        </w:rPr>
        <w:t xml:space="preserve">, </w:t>
      </w:r>
      <w:r w:rsidR="00866A57">
        <w:rPr>
          <w:rFonts w:eastAsia="Times New Roman"/>
          <w:color w:val="000000" w:themeColor="text1"/>
          <w:szCs w:val="24"/>
        </w:rPr>
        <w:t>Entity 53</w:t>
      </w:r>
      <w:r w:rsidR="00BA73EA" w:rsidRPr="00226288">
        <w:rPr>
          <w:rFonts w:eastAsia="Times New Roman"/>
          <w:color w:val="000000" w:themeColor="text1"/>
          <w:szCs w:val="24"/>
        </w:rPr>
        <w:t xml:space="preserve"> would </w:t>
      </w:r>
      <w:r w:rsidR="00BA73EA">
        <w:rPr>
          <w:rFonts w:eastAsia="Times New Roman"/>
          <w:color w:val="000000" w:themeColor="text1"/>
          <w:szCs w:val="24"/>
        </w:rPr>
        <w:t xml:space="preserve">not </w:t>
      </w:r>
      <w:r w:rsidR="00BA73EA" w:rsidRPr="00226288">
        <w:rPr>
          <w:rFonts w:eastAsia="Times New Roman"/>
          <w:color w:val="000000" w:themeColor="text1"/>
          <w:szCs w:val="24"/>
        </w:rPr>
        <w:t xml:space="preserve">be required to operate bilingually because </w:t>
      </w:r>
      <w:r w:rsidR="00194CEE">
        <w:rPr>
          <w:rFonts w:eastAsia="Times New Roman"/>
          <w:color w:val="000000" w:themeColor="text1"/>
          <w:szCs w:val="24"/>
        </w:rPr>
        <w:t>9</w:t>
      </w:r>
      <w:r w:rsidR="003002B5">
        <w:rPr>
          <w:rFonts w:eastAsia="Times New Roman"/>
          <w:color w:val="000000" w:themeColor="text1"/>
          <w:szCs w:val="24"/>
        </w:rPr>
        <w:t>6</w:t>
      </w:r>
      <w:r w:rsidR="00BA73EA">
        <w:rPr>
          <w:rFonts w:eastAsia="Times New Roman"/>
          <w:color w:val="000000" w:themeColor="text1"/>
          <w:szCs w:val="24"/>
        </w:rPr>
        <w:t xml:space="preserve">% of the residents are </w:t>
      </w:r>
      <w:r w:rsidR="00194CEE">
        <w:rPr>
          <w:rFonts w:eastAsia="Times New Roman"/>
          <w:color w:val="000000" w:themeColor="text1"/>
          <w:szCs w:val="24"/>
        </w:rPr>
        <w:t>Anglophones.</w:t>
      </w:r>
      <w:r w:rsidR="00BA73EA" w:rsidRPr="00226288">
        <w:rPr>
          <w:rFonts w:eastAsia="Times New Roman"/>
          <w:color w:val="000000" w:themeColor="text1"/>
          <w:szCs w:val="24"/>
        </w:rPr>
        <w:t xml:space="preserve"> </w:t>
      </w:r>
    </w:p>
    <w:p w14:paraId="5D42D3F0" w14:textId="0E1B05D6" w:rsidR="00D37697" w:rsidRDefault="00567A28" w:rsidP="00514622">
      <w:pPr>
        <w:jc w:val="both"/>
        <w:rPr>
          <w:rFonts w:eastAsia="Times New Roman"/>
          <w:color w:val="000000" w:themeColor="text1"/>
          <w:szCs w:val="24"/>
        </w:rPr>
      </w:pPr>
      <w:r>
        <w:rPr>
          <w:rFonts w:eastAsia="Times New Roman"/>
          <w:color w:val="000000" w:themeColor="text1"/>
          <w:szCs w:val="24"/>
        </w:rPr>
        <w:t xml:space="preserve">As it stands today, the democratic health of the proposed entity is deteriorating. </w:t>
      </w:r>
      <w:r w:rsidR="00A4208B">
        <w:rPr>
          <w:rFonts w:eastAsia="Times New Roman"/>
          <w:color w:val="000000" w:themeColor="text1"/>
          <w:szCs w:val="24"/>
        </w:rPr>
        <w:t xml:space="preserve">Over half of the </w:t>
      </w:r>
      <w:r w:rsidR="00907990">
        <w:rPr>
          <w:rFonts w:eastAsia="Times New Roman"/>
          <w:color w:val="000000" w:themeColor="text1"/>
          <w:szCs w:val="24"/>
        </w:rPr>
        <w:t xml:space="preserve">inhabitants of the proposed </w:t>
      </w:r>
      <w:r w:rsidR="00866A57">
        <w:rPr>
          <w:rFonts w:eastAsia="Times New Roman"/>
          <w:color w:val="000000" w:themeColor="text1"/>
          <w:szCs w:val="24"/>
        </w:rPr>
        <w:t>Entity 53</w:t>
      </w:r>
      <w:r w:rsidR="00907990">
        <w:rPr>
          <w:rFonts w:eastAsia="Times New Roman"/>
          <w:color w:val="000000" w:themeColor="text1"/>
          <w:szCs w:val="24"/>
        </w:rPr>
        <w:t xml:space="preserve"> currently live in unincorporated </w:t>
      </w:r>
      <w:r>
        <w:rPr>
          <w:rFonts w:eastAsia="Times New Roman"/>
          <w:color w:val="000000" w:themeColor="text1"/>
          <w:szCs w:val="24"/>
        </w:rPr>
        <w:t>areas and</w:t>
      </w:r>
      <w:r w:rsidR="00907990">
        <w:rPr>
          <w:rFonts w:eastAsia="Times New Roman"/>
          <w:color w:val="000000" w:themeColor="text1"/>
          <w:szCs w:val="24"/>
        </w:rPr>
        <w:t xml:space="preserve"> are accordingly </w:t>
      </w:r>
      <w:r w:rsidR="00AB56BE">
        <w:rPr>
          <w:rFonts w:eastAsia="Times New Roman"/>
          <w:color w:val="000000" w:themeColor="text1"/>
          <w:szCs w:val="24"/>
        </w:rPr>
        <w:t>without local representative government.</w:t>
      </w:r>
      <w:r w:rsidR="00190B92">
        <w:rPr>
          <w:rFonts w:eastAsia="Times New Roman"/>
          <w:color w:val="000000" w:themeColor="text1"/>
          <w:szCs w:val="24"/>
        </w:rPr>
        <w:t xml:space="preserve"> </w:t>
      </w:r>
      <w:r w:rsidR="00F70AB8">
        <w:rPr>
          <w:rFonts w:eastAsia="Times New Roman"/>
          <w:color w:val="000000" w:themeColor="text1"/>
          <w:szCs w:val="24"/>
        </w:rPr>
        <w:t>While Centreville has</w:t>
      </w:r>
      <w:r w:rsidR="00DA40B2">
        <w:rPr>
          <w:rFonts w:eastAsia="Times New Roman"/>
          <w:color w:val="000000" w:themeColor="text1"/>
          <w:szCs w:val="24"/>
        </w:rPr>
        <w:t xml:space="preserve"> seen consistently high voter turnout in the previous two quadrennial elections, the proposed Entity 53’s largest </w:t>
      </w:r>
      <w:r w:rsidR="00AF4058">
        <w:rPr>
          <w:rFonts w:eastAsia="Times New Roman"/>
          <w:color w:val="000000" w:themeColor="text1"/>
          <w:szCs w:val="24"/>
        </w:rPr>
        <w:t xml:space="preserve">municipality, </w:t>
      </w:r>
      <w:proofErr w:type="spellStart"/>
      <w:r w:rsidR="00AF4058">
        <w:rPr>
          <w:rFonts w:eastAsia="Times New Roman"/>
          <w:color w:val="000000" w:themeColor="text1"/>
          <w:szCs w:val="24"/>
        </w:rPr>
        <w:t>Florenceville</w:t>
      </w:r>
      <w:proofErr w:type="spellEnd"/>
      <w:r w:rsidR="00AF4058">
        <w:rPr>
          <w:rFonts w:eastAsia="Times New Roman"/>
          <w:color w:val="000000" w:themeColor="text1"/>
          <w:szCs w:val="24"/>
        </w:rPr>
        <w:t>-Brist</w:t>
      </w:r>
      <w:r w:rsidR="00656FBB">
        <w:rPr>
          <w:rFonts w:eastAsia="Times New Roman"/>
          <w:color w:val="000000" w:themeColor="text1"/>
          <w:szCs w:val="24"/>
        </w:rPr>
        <w:t>o</w:t>
      </w:r>
      <w:r w:rsidR="00AF4058">
        <w:rPr>
          <w:rFonts w:eastAsia="Times New Roman"/>
          <w:color w:val="000000" w:themeColor="text1"/>
          <w:szCs w:val="24"/>
        </w:rPr>
        <w:t xml:space="preserve">l is in crisis. </w:t>
      </w:r>
      <w:r w:rsidR="0040016D">
        <w:rPr>
          <w:rFonts w:eastAsia="Times New Roman"/>
          <w:color w:val="000000" w:themeColor="text1"/>
          <w:szCs w:val="24"/>
        </w:rPr>
        <w:t xml:space="preserve">In the 2012 quadrennial election, both Bath and </w:t>
      </w:r>
      <w:proofErr w:type="spellStart"/>
      <w:r w:rsidR="0040016D">
        <w:rPr>
          <w:rFonts w:eastAsia="Times New Roman"/>
          <w:color w:val="000000" w:themeColor="text1"/>
          <w:szCs w:val="24"/>
        </w:rPr>
        <w:t>Florencville</w:t>
      </w:r>
      <w:proofErr w:type="spellEnd"/>
      <w:r w:rsidR="0040016D">
        <w:rPr>
          <w:rFonts w:eastAsia="Times New Roman"/>
          <w:color w:val="000000" w:themeColor="text1"/>
          <w:szCs w:val="24"/>
        </w:rPr>
        <w:t xml:space="preserve">-Bristol </w:t>
      </w:r>
      <w:r w:rsidR="009D2954">
        <w:rPr>
          <w:rFonts w:eastAsia="Times New Roman"/>
          <w:color w:val="000000" w:themeColor="text1"/>
          <w:szCs w:val="24"/>
        </w:rPr>
        <w:t xml:space="preserve">reported voter turnout rates in the high forties. Since then, however, </w:t>
      </w:r>
      <w:proofErr w:type="spellStart"/>
      <w:r w:rsidR="00C63002">
        <w:rPr>
          <w:rFonts w:eastAsia="Times New Roman"/>
          <w:color w:val="000000" w:themeColor="text1"/>
          <w:szCs w:val="24"/>
        </w:rPr>
        <w:t>Florencville</w:t>
      </w:r>
      <w:proofErr w:type="spellEnd"/>
      <w:r w:rsidR="00C63002">
        <w:rPr>
          <w:rFonts w:eastAsia="Times New Roman"/>
          <w:color w:val="000000" w:themeColor="text1"/>
          <w:szCs w:val="24"/>
        </w:rPr>
        <w:t xml:space="preserve">-Bristol has become the single worst municipality in terms of voter participation. </w:t>
      </w:r>
    </w:p>
    <w:tbl>
      <w:tblPr>
        <w:tblpPr w:leftFromText="180" w:rightFromText="180" w:vertAnchor="text" w:horzAnchor="margin" w:tblpXSpec="right" w:tblpY="3091"/>
        <w:tblOverlap w:val="never"/>
        <w:tblW w:w="5835" w:type="dxa"/>
        <w:tblLook w:val="04A0" w:firstRow="1" w:lastRow="0" w:firstColumn="1" w:lastColumn="0" w:noHBand="0" w:noVBand="1"/>
      </w:tblPr>
      <w:tblGrid>
        <w:gridCol w:w="2709"/>
        <w:gridCol w:w="1563"/>
        <w:gridCol w:w="1563"/>
      </w:tblGrid>
      <w:tr w:rsidR="00D37697" w:rsidRPr="00D37697" w14:paraId="473B8317" w14:textId="77777777" w:rsidTr="00D37697">
        <w:trPr>
          <w:trHeight w:val="310"/>
        </w:trPr>
        <w:tc>
          <w:tcPr>
            <w:tcW w:w="5835" w:type="dxa"/>
            <w:gridSpan w:val="3"/>
            <w:tcBorders>
              <w:top w:val="nil"/>
              <w:left w:val="nil"/>
              <w:bottom w:val="single" w:sz="8" w:space="0" w:color="BFBFBF"/>
              <w:right w:val="nil"/>
            </w:tcBorders>
            <w:shd w:val="clear" w:color="auto" w:fill="auto"/>
            <w:noWrap/>
            <w:vAlign w:val="center"/>
            <w:hideMark/>
          </w:tcPr>
          <w:p w14:paraId="4A0F479F" w14:textId="77777777" w:rsidR="00D37697" w:rsidRPr="00D37697" w:rsidRDefault="00D37697" w:rsidP="00D37697">
            <w:pPr>
              <w:spacing w:after="0" w:line="240" w:lineRule="auto"/>
              <w:jc w:val="center"/>
              <w:rPr>
                <w:rFonts w:eastAsia="Times New Roman"/>
                <w:b/>
                <w:bCs/>
                <w:color w:val="000000"/>
                <w:szCs w:val="24"/>
                <w:lang w:val="en-CA" w:eastAsia="en-CA"/>
              </w:rPr>
            </w:pPr>
            <w:r w:rsidRPr="00D37697">
              <w:rPr>
                <w:rFonts w:eastAsia="Times New Roman"/>
                <w:b/>
                <w:bCs/>
                <w:color w:val="000000"/>
                <w:szCs w:val="24"/>
                <w:lang w:val="en-CA" w:eastAsia="en-CA"/>
              </w:rPr>
              <w:lastRenderedPageBreak/>
              <w:t>Voter Turnout by Existing Municipality</w:t>
            </w:r>
          </w:p>
        </w:tc>
      </w:tr>
      <w:tr w:rsidR="00D37697" w:rsidRPr="00D37697" w14:paraId="259D8216" w14:textId="77777777" w:rsidTr="00D37697">
        <w:trPr>
          <w:trHeight w:val="970"/>
        </w:trPr>
        <w:tc>
          <w:tcPr>
            <w:tcW w:w="2709" w:type="dxa"/>
            <w:tcBorders>
              <w:top w:val="nil"/>
              <w:left w:val="nil"/>
              <w:bottom w:val="nil"/>
              <w:right w:val="nil"/>
            </w:tcBorders>
            <w:shd w:val="clear" w:color="4472C4" w:fill="4472C4"/>
            <w:vAlign w:val="center"/>
            <w:hideMark/>
          </w:tcPr>
          <w:p w14:paraId="5120EB83" w14:textId="77777777" w:rsidR="00D37697" w:rsidRPr="00D37697" w:rsidRDefault="00D37697" w:rsidP="00D37697">
            <w:pPr>
              <w:spacing w:after="0" w:line="240" w:lineRule="auto"/>
              <w:jc w:val="center"/>
              <w:rPr>
                <w:rFonts w:eastAsia="Times New Roman"/>
                <w:b/>
                <w:bCs/>
                <w:color w:val="000000"/>
                <w:szCs w:val="24"/>
                <w:lang w:val="en-CA" w:eastAsia="en-CA"/>
              </w:rPr>
            </w:pPr>
            <w:r w:rsidRPr="00D37697">
              <w:rPr>
                <w:rFonts w:eastAsia="Times New Roman"/>
                <w:b/>
                <w:bCs/>
                <w:color w:val="000000"/>
                <w:szCs w:val="24"/>
                <w:lang w:val="en-CA" w:eastAsia="en-CA"/>
              </w:rPr>
              <w:t>Municipality</w:t>
            </w:r>
          </w:p>
        </w:tc>
        <w:tc>
          <w:tcPr>
            <w:tcW w:w="1563" w:type="dxa"/>
            <w:tcBorders>
              <w:top w:val="nil"/>
              <w:left w:val="single" w:sz="4" w:space="0" w:color="FFFFFF"/>
              <w:bottom w:val="nil"/>
              <w:right w:val="nil"/>
            </w:tcBorders>
            <w:shd w:val="clear" w:color="4472C4" w:fill="4472C4"/>
            <w:hideMark/>
          </w:tcPr>
          <w:p w14:paraId="76F7D87A" w14:textId="77777777" w:rsidR="00D37697" w:rsidRPr="00D37697" w:rsidRDefault="00D37697" w:rsidP="00D37697">
            <w:pPr>
              <w:spacing w:after="0" w:line="240" w:lineRule="auto"/>
              <w:jc w:val="center"/>
              <w:rPr>
                <w:rFonts w:eastAsia="Times New Roman"/>
                <w:b/>
                <w:bCs/>
                <w:color w:val="000000"/>
                <w:szCs w:val="24"/>
                <w:lang w:val="en-CA" w:eastAsia="en-CA"/>
              </w:rPr>
            </w:pPr>
            <w:r w:rsidRPr="00D37697">
              <w:rPr>
                <w:rFonts w:eastAsia="Times New Roman"/>
                <w:b/>
                <w:bCs/>
                <w:color w:val="000000"/>
                <w:szCs w:val="24"/>
                <w:lang w:val="en-CA" w:eastAsia="en-CA"/>
              </w:rPr>
              <w:t>Voter Participation 2012</w:t>
            </w:r>
            <w:r w:rsidRPr="00D37697">
              <w:rPr>
                <w:rFonts w:eastAsia="Times New Roman"/>
                <w:b/>
                <w:bCs/>
                <w:color w:val="000000"/>
                <w:szCs w:val="24"/>
                <w:vertAlign w:val="superscript"/>
                <w:lang w:val="en-CA" w:eastAsia="en-CA"/>
              </w:rPr>
              <w:t>1</w:t>
            </w:r>
          </w:p>
        </w:tc>
        <w:tc>
          <w:tcPr>
            <w:tcW w:w="1563" w:type="dxa"/>
            <w:tcBorders>
              <w:top w:val="nil"/>
              <w:left w:val="single" w:sz="4" w:space="0" w:color="FFFFFF"/>
              <w:bottom w:val="nil"/>
              <w:right w:val="nil"/>
            </w:tcBorders>
            <w:shd w:val="clear" w:color="4472C4" w:fill="4472C4"/>
            <w:hideMark/>
          </w:tcPr>
          <w:p w14:paraId="1D38C2FF" w14:textId="77777777" w:rsidR="00D37697" w:rsidRPr="00D37697" w:rsidRDefault="00D37697" w:rsidP="00D37697">
            <w:pPr>
              <w:spacing w:after="0" w:line="240" w:lineRule="auto"/>
              <w:jc w:val="center"/>
              <w:rPr>
                <w:rFonts w:eastAsia="Times New Roman"/>
                <w:b/>
                <w:bCs/>
                <w:color w:val="000000"/>
                <w:szCs w:val="24"/>
                <w:lang w:val="en-CA" w:eastAsia="en-CA"/>
              </w:rPr>
            </w:pPr>
            <w:r w:rsidRPr="00D37697">
              <w:rPr>
                <w:rFonts w:eastAsia="Times New Roman"/>
                <w:b/>
                <w:bCs/>
                <w:color w:val="000000"/>
                <w:szCs w:val="24"/>
                <w:lang w:val="en-CA" w:eastAsia="en-CA"/>
              </w:rPr>
              <w:t>Voter Participation 2016</w:t>
            </w:r>
          </w:p>
        </w:tc>
      </w:tr>
      <w:tr w:rsidR="00D37697" w:rsidRPr="00D37697" w14:paraId="4E8B38F9" w14:textId="77777777" w:rsidTr="00D37697">
        <w:trPr>
          <w:trHeight w:val="320"/>
        </w:trPr>
        <w:tc>
          <w:tcPr>
            <w:tcW w:w="2709" w:type="dxa"/>
            <w:tcBorders>
              <w:top w:val="single" w:sz="12" w:space="0" w:color="FFFFFF"/>
              <w:left w:val="nil"/>
              <w:bottom w:val="nil"/>
              <w:right w:val="nil"/>
            </w:tcBorders>
            <w:shd w:val="clear" w:color="B4C6E7" w:fill="B4C6E7"/>
            <w:noWrap/>
            <w:vAlign w:val="bottom"/>
            <w:hideMark/>
          </w:tcPr>
          <w:p w14:paraId="26944A7B" w14:textId="77777777" w:rsidR="00D37697" w:rsidRPr="00D37697" w:rsidRDefault="00D37697" w:rsidP="00D37697">
            <w:pPr>
              <w:spacing w:after="0" w:line="240" w:lineRule="auto"/>
              <w:rPr>
                <w:rFonts w:eastAsia="Times New Roman"/>
                <w:color w:val="000000"/>
                <w:szCs w:val="24"/>
                <w:lang w:val="en-CA" w:eastAsia="en-CA"/>
              </w:rPr>
            </w:pPr>
            <w:r w:rsidRPr="00D37697">
              <w:rPr>
                <w:rFonts w:eastAsia="Times New Roman"/>
                <w:color w:val="000000"/>
                <w:szCs w:val="24"/>
                <w:lang w:eastAsia="en-CA"/>
              </w:rPr>
              <w:t>Bath</w:t>
            </w:r>
          </w:p>
        </w:tc>
        <w:tc>
          <w:tcPr>
            <w:tcW w:w="1563" w:type="dxa"/>
            <w:tcBorders>
              <w:top w:val="single" w:sz="12" w:space="0" w:color="FFFFFF"/>
              <w:left w:val="single" w:sz="4" w:space="0" w:color="FFFFFF"/>
              <w:bottom w:val="nil"/>
              <w:right w:val="nil"/>
            </w:tcBorders>
            <w:shd w:val="clear" w:color="B4C6E7" w:fill="B4C6E7"/>
            <w:noWrap/>
            <w:vAlign w:val="bottom"/>
            <w:hideMark/>
          </w:tcPr>
          <w:p w14:paraId="21FA04E9" w14:textId="77777777" w:rsidR="00D37697" w:rsidRPr="00D37697" w:rsidRDefault="00D37697" w:rsidP="00D37697">
            <w:pPr>
              <w:spacing w:after="0" w:line="240" w:lineRule="auto"/>
              <w:jc w:val="right"/>
              <w:rPr>
                <w:rFonts w:eastAsia="Times New Roman"/>
                <w:color w:val="000000"/>
                <w:szCs w:val="24"/>
                <w:lang w:val="en-CA" w:eastAsia="en-CA"/>
              </w:rPr>
            </w:pPr>
            <w:r w:rsidRPr="00D37697">
              <w:rPr>
                <w:rFonts w:eastAsia="Times New Roman"/>
                <w:color w:val="000000"/>
                <w:szCs w:val="24"/>
                <w:lang w:eastAsia="en-CA"/>
              </w:rPr>
              <w:t>46.6%</w:t>
            </w:r>
          </w:p>
        </w:tc>
        <w:tc>
          <w:tcPr>
            <w:tcW w:w="1563" w:type="dxa"/>
            <w:tcBorders>
              <w:top w:val="single" w:sz="12" w:space="0" w:color="FFFFFF"/>
              <w:left w:val="single" w:sz="4" w:space="0" w:color="FFFFFF"/>
              <w:bottom w:val="nil"/>
              <w:right w:val="nil"/>
            </w:tcBorders>
            <w:shd w:val="clear" w:color="B4C6E7" w:fill="B4C6E7"/>
            <w:noWrap/>
            <w:vAlign w:val="bottom"/>
            <w:hideMark/>
          </w:tcPr>
          <w:p w14:paraId="0F9B2947" w14:textId="77777777" w:rsidR="00D37697" w:rsidRPr="00D37697" w:rsidRDefault="00D37697" w:rsidP="00D37697">
            <w:pPr>
              <w:spacing w:after="0" w:line="240" w:lineRule="auto"/>
              <w:jc w:val="right"/>
              <w:rPr>
                <w:rFonts w:eastAsia="Times New Roman"/>
                <w:color w:val="000000"/>
                <w:szCs w:val="24"/>
                <w:lang w:val="en-CA" w:eastAsia="en-CA"/>
              </w:rPr>
            </w:pPr>
            <w:r w:rsidRPr="00D37697">
              <w:rPr>
                <w:rFonts w:eastAsia="Times New Roman"/>
                <w:color w:val="000000"/>
                <w:szCs w:val="24"/>
                <w:lang w:val="en-CA" w:eastAsia="en-CA"/>
              </w:rPr>
              <w:t>acclaimed</w:t>
            </w:r>
          </w:p>
        </w:tc>
      </w:tr>
      <w:tr w:rsidR="00D37697" w:rsidRPr="00D37697" w14:paraId="44BB41CB" w14:textId="77777777" w:rsidTr="00D37697">
        <w:trPr>
          <w:trHeight w:val="310"/>
        </w:trPr>
        <w:tc>
          <w:tcPr>
            <w:tcW w:w="2709" w:type="dxa"/>
            <w:tcBorders>
              <w:top w:val="single" w:sz="4" w:space="0" w:color="FFFFFF"/>
              <w:left w:val="nil"/>
              <w:bottom w:val="nil"/>
              <w:right w:val="nil"/>
            </w:tcBorders>
            <w:shd w:val="clear" w:color="D9E1F2" w:fill="D9E1F2"/>
            <w:noWrap/>
            <w:vAlign w:val="bottom"/>
            <w:hideMark/>
          </w:tcPr>
          <w:p w14:paraId="4E157A6E" w14:textId="77777777" w:rsidR="00D37697" w:rsidRPr="00D37697" w:rsidRDefault="00D37697" w:rsidP="00D37697">
            <w:pPr>
              <w:spacing w:after="0" w:line="240" w:lineRule="auto"/>
              <w:rPr>
                <w:rFonts w:eastAsia="Times New Roman"/>
                <w:color w:val="000000"/>
                <w:szCs w:val="24"/>
                <w:lang w:val="en-CA" w:eastAsia="en-CA"/>
              </w:rPr>
            </w:pPr>
            <w:r w:rsidRPr="00D37697">
              <w:rPr>
                <w:rFonts w:eastAsia="Times New Roman"/>
                <w:color w:val="000000"/>
                <w:szCs w:val="24"/>
                <w:lang w:eastAsia="en-CA"/>
              </w:rPr>
              <w:t>Centreville</w:t>
            </w:r>
          </w:p>
        </w:tc>
        <w:tc>
          <w:tcPr>
            <w:tcW w:w="1563" w:type="dxa"/>
            <w:tcBorders>
              <w:top w:val="single" w:sz="4" w:space="0" w:color="FFFFFF"/>
              <w:left w:val="single" w:sz="4" w:space="0" w:color="FFFFFF"/>
              <w:bottom w:val="nil"/>
              <w:right w:val="nil"/>
            </w:tcBorders>
            <w:shd w:val="clear" w:color="D9E1F2" w:fill="D9E1F2"/>
            <w:noWrap/>
            <w:vAlign w:val="bottom"/>
            <w:hideMark/>
          </w:tcPr>
          <w:p w14:paraId="29069CDD" w14:textId="77777777" w:rsidR="00D37697" w:rsidRPr="00D37697" w:rsidRDefault="00D37697" w:rsidP="00D37697">
            <w:pPr>
              <w:spacing w:after="0" w:line="240" w:lineRule="auto"/>
              <w:jc w:val="right"/>
              <w:rPr>
                <w:rFonts w:eastAsia="Times New Roman"/>
                <w:color w:val="000000"/>
                <w:szCs w:val="24"/>
                <w:lang w:val="en-CA" w:eastAsia="en-CA"/>
              </w:rPr>
            </w:pPr>
            <w:r w:rsidRPr="00D37697">
              <w:rPr>
                <w:rFonts w:eastAsia="Times New Roman"/>
                <w:color w:val="000000"/>
                <w:szCs w:val="24"/>
                <w:lang w:eastAsia="en-CA"/>
              </w:rPr>
              <w:t>58.7%</w:t>
            </w:r>
          </w:p>
        </w:tc>
        <w:tc>
          <w:tcPr>
            <w:tcW w:w="1563" w:type="dxa"/>
            <w:tcBorders>
              <w:top w:val="single" w:sz="4" w:space="0" w:color="FFFFFF"/>
              <w:left w:val="single" w:sz="4" w:space="0" w:color="FFFFFF"/>
              <w:bottom w:val="nil"/>
              <w:right w:val="nil"/>
            </w:tcBorders>
            <w:shd w:val="clear" w:color="D9E1F2" w:fill="D9E1F2"/>
            <w:noWrap/>
            <w:vAlign w:val="bottom"/>
            <w:hideMark/>
          </w:tcPr>
          <w:p w14:paraId="7DBC8806" w14:textId="77777777" w:rsidR="00D37697" w:rsidRPr="00D37697" w:rsidRDefault="00D37697" w:rsidP="00D37697">
            <w:pPr>
              <w:spacing w:after="0" w:line="240" w:lineRule="auto"/>
              <w:jc w:val="right"/>
              <w:rPr>
                <w:rFonts w:eastAsia="Times New Roman"/>
                <w:color w:val="000000"/>
                <w:szCs w:val="24"/>
                <w:lang w:val="en-CA" w:eastAsia="en-CA"/>
              </w:rPr>
            </w:pPr>
            <w:r w:rsidRPr="00D37697">
              <w:rPr>
                <w:rFonts w:eastAsia="Times New Roman"/>
                <w:color w:val="000000"/>
                <w:szCs w:val="24"/>
                <w:lang w:eastAsia="en-CA"/>
              </w:rPr>
              <w:t>56.8%</w:t>
            </w:r>
          </w:p>
        </w:tc>
      </w:tr>
      <w:tr w:rsidR="00D37697" w:rsidRPr="00D37697" w14:paraId="70C7B4EA" w14:textId="77777777" w:rsidTr="00D37697">
        <w:trPr>
          <w:trHeight w:val="310"/>
        </w:trPr>
        <w:tc>
          <w:tcPr>
            <w:tcW w:w="2709" w:type="dxa"/>
            <w:tcBorders>
              <w:top w:val="single" w:sz="4" w:space="0" w:color="FFFFFF"/>
              <w:left w:val="nil"/>
              <w:bottom w:val="nil"/>
              <w:right w:val="nil"/>
            </w:tcBorders>
            <w:shd w:val="clear" w:color="B4C6E7" w:fill="B4C6E7"/>
            <w:noWrap/>
            <w:vAlign w:val="bottom"/>
            <w:hideMark/>
          </w:tcPr>
          <w:p w14:paraId="5ED7ED13" w14:textId="77777777" w:rsidR="00D37697" w:rsidRPr="00D37697" w:rsidRDefault="00D37697" w:rsidP="00D37697">
            <w:pPr>
              <w:spacing w:after="0" w:line="240" w:lineRule="auto"/>
              <w:rPr>
                <w:rFonts w:eastAsia="Times New Roman"/>
                <w:color w:val="000000"/>
                <w:szCs w:val="24"/>
                <w:lang w:val="en-CA" w:eastAsia="en-CA"/>
              </w:rPr>
            </w:pPr>
            <w:proofErr w:type="spellStart"/>
            <w:r w:rsidRPr="00D37697">
              <w:rPr>
                <w:rFonts w:eastAsia="Times New Roman"/>
                <w:color w:val="000000"/>
                <w:szCs w:val="24"/>
                <w:lang w:eastAsia="en-CA"/>
              </w:rPr>
              <w:t>Florenceville</w:t>
            </w:r>
            <w:proofErr w:type="spellEnd"/>
            <w:r w:rsidRPr="00D37697">
              <w:rPr>
                <w:rFonts w:eastAsia="Times New Roman"/>
                <w:color w:val="000000"/>
                <w:szCs w:val="24"/>
                <w:lang w:eastAsia="en-CA"/>
              </w:rPr>
              <w:t>-Bristol</w:t>
            </w:r>
          </w:p>
        </w:tc>
        <w:tc>
          <w:tcPr>
            <w:tcW w:w="1563" w:type="dxa"/>
            <w:tcBorders>
              <w:top w:val="single" w:sz="4" w:space="0" w:color="FFFFFF"/>
              <w:left w:val="single" w:sz="4" w:space="0" w:color="FFFFFF"/>
              <w:bottom w:val="nil"/>
              <w:right w:val="nil"/>
            </w:tcBorders>
            <w:shd w:val="clear" w:color="B4C6E7" w:fill="B4C6E7"/>
            <w:noWrap/>
            <w:vAlign w:val="bottom"/>
            <w:hideMark/>
          </w:tcPr>
          <w:p w14:paraId="1CAED410" w14:textId="77777777" w:rsidR="00D37697" w:rsidRPr="00D37697" w:rsidRDefault="00D37697" w:rsidP="00D37697">
            <w:pPr>
              <w:spacing w:after="0" w:line="240" w:lineRule="auto"/>
              <w:jc w:val="right"/>
              <w:rPr>
                <w:rFonts w:eastAsia="Times New Roman"/>
                <w:color w:val="000000"/>
                <w:szCs w:val="24"/>
                <w:lang w:val="en-CA" w:eastAsia="en-CA"/>
              </w:rPr>
            </w:pPr>
            <w:r w:rsidRPr="00D37697">
              <w:rPr>
                <w:rFonts w:eastAsia="Times New Roman"/>
                <w:color w:val="000000"/>
                <w:szCs w:val="24"/>
                <w:lang w:eastAsia="en-CA"/>
              </w:rPr>
              <w:t>49.2%</w:t>
            </w:r>
          </w:p>
        </w:tc>
        <w:tc>
          <w:tcPr>
            <w:tcW w:w="1563" w:type="dxa"/>
            <w:tcBorders>
              <w:top w:val="single" w:sz="4" w:space="0" w:color="FFFFFF"/>
              <w:left w:val="single" w:sz="4" w:space="0" w:color="FFFFFF"/>
              <w:bottom w:val="nil"/>
              <w:right w:val="nil"/>
            </w:tcBorders>
            <w:shd w:val="clear" w:color="B4C6E7" w:fill="B4C6E7"/>
            <w:noWrap/>
            <w:vAlign w:val="bottom"/>
            <w:hideMark/>
          </w:tcPr>
          <w:p w14:paraId="7A0A1B56" w14:textId="77777777" w:rsidR="00D37697" w:rsidRPr="00D37697" w:rsidRDefault="00D37697" w:rsidP="00D37697">
            <w:pPr>
              <w:spacing w:after="0" w:line="240" w:lineRule="auto"/>
              <w:jc w:val="right"/>
              <w:rPr>
                <w:rFonts w:eastAsia="Times New Roman"/>
                <w:color w:val="000000"/>
                <w:szCs w:val="24"/>
                <w:lang w:val="en-CA" w:eastAsia="en-CA"/>
              </w:rPr>
            </w:pPr>
            <w:r w:rsidRPr="00D37697">
              <w:rPr>
                <w:rFonts w:eastAsia="Times New Roman"/>
                <w:color w:val="000000"/>
                <w:szCs w:val="24"/>
                <w:lang w:eastAsia="en-CA"/>
              </w:rPr>
              <w:t>13.1%</w:t>
            </w:r>
          </w:p>
        </w:tc>
      </w:tr>
      <w:tr w:rsidR="00D37697" w:rsidRPr="00D37697" w14:paraId="657F78D9" w14:textId="77777777" w:rsidTr="00D37697">
        <w:trPr>
          <w:trHeight w:val="290"/>
        </w:trPr>
        <w:tc>
          <w:tcPr>
            <w:tcW w:w="5835" w:type="dxa"/>
            <w:gridSpan w:val="3"/>
            <w:tcBorders>
              <w:top w:val="nil"/>
              <w:left w:val="nil"/>
              <w:bottom w:val="nil"/>
              <w:right w:val="nil"/>
            </w:tcBorders>
            <w:shd w:val="clear" w:color="auto" w:fill="auto"/>
            <w:noWrap/>
            <w:vAlign w:val="bottom"/>
            <w:hideMark/>
          </w:tcPr>
          <w:p w14:paraId="38746CD2" w14:textId="77777777" w:rsidR="00D37697" w:rsidRPr="00D37697" w:rsidRDefault="00D37697" w:rsidP="00D37697">
            <w:pPr>
              <w:spacing w:after="0" w:line="240" w:lineRule="auto"/>
              <w:rPr>
                <w:rFonts w:eastAsia="Times New Roman"/>
                <w:color w:val="000000"/>
                <w:sz w:val="20"/>
                <w:szCs w:val="20"/>
                <w:lang w:val="en-CA" w:eastAsia="en-CA"/>
              </w:rPr>
            </w:pPr>
            <w:r w:rsidRPr="00D37697">
              <w:rPr>
                <w:rFonts w:eastAsia="Times New Roman"/>
                <w:color w:val="000000"/>
                <w:sz w:val="20"/>
                <w:szCs w:val="20"/>
                <w:lang w:val="en-CA" w:eastAsia="en-CA"/>
              </w:rPr>
              <w:t>1. Elections NB</w:t>
            </w:r>
          </w:p>
        </w:tc>
      </w:tr>
    </w:tbl>
    <w:p w14:paraId="7028EDE0" w14:textId="3FFAB6CD" w:rsidR="00B478D5" w:rsidRPr="0027093A" w:rsidRDefault="00C87E27" w:rsidP="00514622">
      <w:pPr>
        <w:jc w:val="both"/>
        <w:rPr>
          <w:szCs w:val="24"/>
        </w:rPr>
      </w:pPr>
      <w:r>
        <w:rPr>
          <w:rFonts w:eastAsia="Times New Roman"/>
          <w:color w:val="000000" w:themeColor="text1"/>
          <w:szCs w:val="24"/>
        </w:rPr>
        <w:t xml:space="preserve">In 2016, </w:t>
      </w:r>
      <w:proofErr w:type="spellStart"/>
      <w:r>
        <w:rPr>
          <w:rFonts w:eastAsia="Times New Roman"/>
          <w:color w:val="000000" w:themeColor="text1"/>
          <w:szCs w:val="24"/>
        </w:rPr>
        <w:t>Florenceville</w:t>
      </w:r>
      <w:proofErr w:type="spellEnd"/>
      <w:r>
        <w:rPr>
          <w:rFonts w:eastAsia="Times New Roman"/>
          <w:color w:val="000000" w:themeColor="text1"/>
          <w:szCs w:val="24"/>
        </w:rPr>
        <w:t>-Bristol reported only 13% of its population as having cast a ballot</w:t>
      </w:r>
      <w:r w:rsidR="005219AD">
        <w:rPr>
          <w:rFonts w:eastAsia="Times New Roman"/>
          <w:color w:val="000000" w:themeColor="text1"/>
          <w:szCs w:val="24"/>
        </w:rPr>
        <w:t xml:space="preserve">, </w:t>
      </w:r>
      <w:r w:rsidR="00625C6E">
        <w:rPr>
          <w:rFonts w:eastAsia="Times New Roman"/>
          <w:color w:val="000000" w:themeColor="text1"/>
          <w:szCs w:val="24"/>
        </w:rPr>
        <w:t xml:space="preserve">the </w:t>
      </w:r>
      <w:r w:rsidR="0084239C">
        <w:rPr>
          <w:rFonts w:eastAsia="Times New Roman"/>
          <w:color w:val="000000" w:themeColor="text1"/>
          <w:szCs w:val="24"/>
        </w:rPr>
        <w:t>largest drop in voter participation across the province</w:t>
      </w:r>
      <w:r>
        <w:rPr>
          <w:rFonts w:eastAsia="Times New Roman"/>
          <w:color w:val="000000" w:themeColor="text1"/>
          <w:szCs w:val="24"/>
        </w:rPr>
        <w:t>.</w:t>
      </w:r>
      <w:r w:rsidR="00992946">
        <w:rPr>
          <w:rFonts w:eastAsia="Times New Roman"/>
          <w:color w:val="000000" w:themeColor="text1"/>
          <w:szCs w:val="24"/>
        </w:rPr>
        <w:t xml:space="preserve"> </w:t>
      </w:r>
      <w:r w:rsidR="0084239C">
        <w:rPr>
          <w:rFonts w:eastAsia="Times New Roman"/>
          <w:color w:val="000000" w:themeColor="text1"/>
          <w:szCs w:val="24"/>
        </w:rPr>
        <w:t xml:space="preserve">Following this 73% drop in voter turnout, </w:t>
      </w:r>
      <w:r w:rsidR="00136F8C">
        <w:rPr>
          <w:rFonts w:eastAsia="Times New Roman"/>
          <w:color w:val="000000" w:themeColor="text1"/>
          <w:szCs w:val="24"/>
        </w:rPr>
        <w:t>two council positions were vacated, necessitating byelections</w:t>
      </w:r>
      <w:r w:rsidR="0040747F">
        <w:rPr>
          <w:rFonts w:eastAsia="Times New Roman"/>
          <w:color w:val="000000" w:themeColor="text1"/>
          <w:szCs w:val="24"/>
        </w:rPr>
        <w:t xml:space="preserve">. </w:t>
      </w:r>
      <w:r w:rsidR="00136F8C">
        <w:rPr>
          <w:rFonts w:eastAsia="Times New Roman"/>
          <w:color w:val="000000" w:themeColor="text1"/>
          <w:szCs w:val="24"/>
        </w:rPr>
        <w:t xml:space="preserve">Because the candidate pool is so </w:t>
      </w:r>
      <w:r w:rsidR="007A020D">
        <w:rPr>
          <w:rFonts w:eastAsia="Times New Roman"/>
          <w:color w:val="000000" w:themeColor="text1"/>
          <w:szCs w:val="24"/>
        </w:rPr>
        <w:t xml:space="preserve">small, however, these byelections </w:t>
      </w:r>
      <w:r w:rsidR="00D63234">
        <w:rPr>
          <w:rFonts w:eastAsia="Times New Roman"/>
          <w:color w:val="000000" w:themeColor="text1"/>
          <w:szCs w:val="24"/>
        </w:rPr>
        <w:t xml:space="preserve">were </w:t>
      </w:r>
      <w:r w:rsidR="007A020D">
        <w:rPr>
          <w:rFonts w:eastAsia="Times New Roman"/>
          <w:color w:val="000000" w:themeColor="text1"/>
          <w:szCs w:val="24"/>
        </w:rPr>
        <w:t xml:space="preserve">not </w:t>
      </w:r>
      <w:r w:rsidR="00247692">
        <w:rPr>
          <w:rFonts w:eastAsia="Times New Roman"/>
          <w:color w:val="000000" w:themeColor="text1"/>
          <w:szCs w:val="24"/>
        </w:rPr>
        <w:t xml:space="preserve">able to be </w:t>
      </w:r>
      <w:r w:rsidR="00C24EAB">
        <w:rPr>
          <w:rFonts w:eastAsia="Times New Roman"/>
          <w:color w:val="000000" w:themeColor="text1"/>
          <w:szCs w:val="24"/>
        </w:rPr>
        <w:t>held</w:t>
      </w:r>
      <w:r w:rsidR="00247692">
        <w:rPr>
          <w:rFonts w:eastAsia="Times New Roman"/>
          <w:color w:val="000000" w:themeColor="text1"/>
          <w:szCs w:val="24"/>
        </w:rPr>
        <w:t xml:space="preserve"> because no candidates submitted their names for consideration. </w:t>
      </w:r>
      <w:r w:rsidR="00C24EAB">
        <w:rPr>
          <w:rFonts w:eastAsia="Times New Roman"/>
          <w:color w:val="000000" w:themeColor="text1"/>
          <w:szCs w:val="24"/>
        </w:rPr>
        <w:t xml:space="preserve">While </w:t>
      </w:r>
      <w:r w:rsidR="002B165A">
        <w:rPr>
          <w:rFonts w:eastAsia="Times New Roman"/>
          <w:color w:val="000000" w:themeColor="text1"/>
          <w:szCs w:val="24"/>
        </w:rPr>
        <w:t>the two positions were filled the following year in contested elections, t</w:t>
      </w:r>
      <w:r w:rsidR="00EB32EB">
        <w:rPr>
          <w:rFonts w:eastAsia="Times New Roman"/>
          <w:color w:val="000000" w:themeColor="text1"/>
          <w:szCs w:val="24"/>
        </w:rPr>
        <w:t xml:space="preserve">he fact that not one but two positions went unfilled for a year is a cause for alarm. </w:t>
      </w:r>
      <w:proofErr w:type="spellStart"/>
      <w:r w:rsidR="000B52E6">
        <w:rPr>
          <w:rFonts w:eastAsia="Times New Roman"/>
          <w:color w:val="000000" w:themeColor="text1"/>
          <w:szCs w:val="24"/>
        </w:rPr>
        <w:t>Whats</w:t>
      </w:r>
      <w:proofErr w:type="spellEnd"/>
      <w:r w:rsidR="000B52E6">
        <w:rPr>
          <w:rFonts w:eastAsia="Times New Roman"/>
          <w:color w:val="000000" w:themeColor="text1"/>
          <w:szCs w:val="24"/>
        </w:rPr>
        <w:t xml:space="preserve"> more, the frequency of these byelections ma</w:t>
      </w:r>
      <w:r w:rsidR="006E3460">
        <w:rPr>
          <w:rFonts w:eastAsia="Times New Roman"/>
          <w:color w:val="000000" w:themeColor="text1"/>
          <w:szCs w:val="24"/>
        </w:rPr>
        <w:t xml:space="preserve">y inadvertently </w:t>
      </w:r>
      <w:r w:rsidR="005B5A93">
        <w:rPr>
          <w:rFonts w:eastAsia="Times New Roman"/>
          <w:color w:val="000000" w:themeColor="text1"/>
          <w:szCs w:val="24"/>
        </w:rPr>
        <w:t xml:space="preserve">increase voter apathy. </w:t>
      </w:r>
      <w:r w:rsidR="006E3460">
        <w:rPr>
          <w:rFonts w:eastAsia="Times New Roman"/>
          <w:color w:val="000000" w:themeColor="text1"/>
          <w:szCs w:val="24"/>
        </w:rPr>
        <w:t xml:space="preserve">It is unlikely that </w:t>
      </w:r>
      <w:proofErr w:type="spellStart"/>
      <w:r w:rsidR="006E3460">
        <w:rPr>
          <w:rFonts w:eastAsia="Times New Roman"/>
          <w:color w:val="000000" w:themeColor="text1"/>
          <w:szCs w:val="24"/>
        </w:rPr>
        <w:t>Florenceville</w:t>
      </w:r>
      <w:proofErr w:type="spellEnd"/>
      <w:r w:rsidR="006E3460">
        <w:rPr>
          <w:rFonts w:eastAsia="Times New Roman"/>
          <w:color w:val="000000" w:themeColor="text1"/>
          <w:szCs w:val="24"/>
        </w:rPr>
        <w:t xml:space="preserve">-Bristol will report a second turnout rate comparable to 2016, but the </w:t>
      </w:r>
      <w:r w:rsidR="00970D5D">
        <w:rPr>
          <w:rFonts w:eastAsia="Times New Roman"/>
          <w:color w:val="000000" w:themeColor="text1"/>
          <w:szCs w:val="24"/>
        </w:rPr>
        <w:t xml:space="preserve">limited pool of potential candidates may nonetheless diminish any potential recovery in </w:t>
      </w:r>
      <w:r w:rsidR="00C360ED">
        <w:rPr>
          <w:rFonts w:eastAsia="Times New Roman"/>
          <w:color w:val="000000" w:themeColor="text1"/>
          <w:szCs w:val="24"/>
        </w:rPr>
        <w:t xml:space="preserve">voter participation. </w:t>
      </w:r>
    </w:p>
    <w:p w14:paraId="77FC3A55" w14:textId="2BB559C1" w:rsidR="009E34FE" w:rsidRDefault="00DF6D98" w:rsidP="00514622">
      <w:pPr>
        <w:jc w:val="both"/>
        <w:rPr>
          <w:rFonts w:eastAsia="Times New Roman"/>
          <w:color w:val="000000" w:themeColor="text1"/>
          <w:szCs w:val="24"/>
        </w:rPr>
      </w:pPr>
      <w:r>
        <w:rPr>
          <w:rFonts w:eastAsia="Times New Roman"/>
          <w:color w:val="000000" w:themeColor="text1"/>
          <w:szCs w:val="24"/>
        </w:rPr>
        <w:t xml:space="preserve">By </w:t>
      </w:r>
      <w:r w:rsidR="00AE7BAB">
        <w:rPr>
          <w:rFonts w:eastAsia="Times New Roman"/>
          <w:color w:val="000000" w:themeColor="text1"/>
          <w:szCs w:val="24"/>
        </w:rPr>
        <w:t xml:space="preserve">amalgamating into the proposed </w:t>
      </w:r>
      <w:r w:rsidR="00866A57">
        <w:rPr>
          <w:rFonts w:eastAsia="Times New Roman"/>
          <w:color w:val="000000" w:themeColor="text1"/>
          <w:szCs w:val="24"/>
        </w:rPr>
        <w:t>Entity 53</w:t>
      </w:r>
      <w:r w:rsidR="00AE7BAB">
        <w:rPr>
          <w:rFonts w:eastAsia="Times New Roman"/>
          <w:color w:val="000000" w:themeColor="text1"/>
          <w:szCs w:val="24"/>
        </w:rPr>
        <w:t xml:space="preserve">, </w:t>
      </w:r>
      <w:r w:rsidR="00E47486">
        <w:rPr>
          <w:rFonts w:eastAsia="Times New Roman"/>
          <w:color w:val="000000" w:themeColor="text1"/>
          <w:szCs w:val="24"/>
        </w:rPr>
        <w:t xml:space="preserve">the size of the electorate </w:t>
      </w:r>
      <w:r w:rsidR="00091112">
        <w:rPr>
          <w:rFonts w:eastAsia="Times New Roman"/>
          <w:color w:val="000000" w:themeColor="text1"/>
          <w:szCs w:val="24"/>
        </w:rPr>
        <w:t xml:space="preserve">and candidate pool </w:t>
      </w:r>
      <w:r w:rsidR="00C1414C">
        <w:rPr>
          <w:rFonts w:eastAsia="Times New Roman"/>
          <w:color w:val="000000" w:themeColor="text1"/>
          <w:szCs w:val="24"/>
        </w:rPr>
        <w:t>would increase significantly</w:t>
      </w:r>
      <w:r w:rsidR="00091112">
        <w:rPr>
          <w:rFonts w:eastAsia="Times New Roman"/>
          <w:color w:val="000000" w:themeColor="text1"/>
          <w:szCs w:val="24"/>
        </w:rPr>
        <w:t xml:space="preserve">. </w:t>
      </w:r>
      <w:r w:rsidR="002A5FBA">
        <w:rPr>
          <w:rFonts w:eastAsia="Times New Roman"/>
          <w:color w:val="000000" w:themeColor="text1"/>
          <w:szCs w:val="24"/>
        </w:rPr>
        <w:t xml:space="preserve">An example </w:t>
      </w:r>
      <w:r w:rsidR="00564E02">
        <w:rPr>
          <w:rFonts w:eastAsia="Times New Roman"/>
          <w:color w:val="000000" w:themeColor="text1"/>
          <w:szCs w:val="24"/>
        </w:rPr>
        <w:t xml:space="preserve">of such a strategy succeeding can be observed in the Village of Eel River Crossing. </w:t>
      </w:r>
      <w:r w:rsidR="00ED6F3F">
        <w:rPr>
          <w:rFonts w:eastAsia="Times New Roman"/>
          <w:color w:val="000000" w:themeColor="text1"/>
          <w:szCs w:val="24"/>
        </w:rPr>
        <w:t xml:space="preserve">In 2014, </w:t>
      </w:r>
      <w:proofErr w:type="gramStart"/>
      <w:r w:rsidR="00ED6F3F">
        <w:rPr>
          <w:rFonts w:eastAsia="Times New Roman"/>
          <w:color w:val="000000" w:themeColor="text1"/>
          <w:szCs w:val="24"/>
        </w:rPr>
        <w:t>a number of</w:t>
      </w:r>
      <w:proofErr w:type="gramEnd"/>
      <w:r w:rsidR="00ED6F3F">
        <w:rPr>
          <w:rFonts w:eastAsia="Times New Roman"/>
          <w:color w:val="000000" w:themeColor="text1"/>
          <w:szCs w:val="24"/>
        </w:rPr>
        <w:t xml:space="preserve"> contiguous LSDs voted to join the nearby village, resulting in a 2015 election which was highly contested. </w:t>
      </w:r>
      <w:r w:rsidR="00ED6F3F" w:rsidRPr="00226288">
        <w:rPr>
          <w:rFonts w:eastAsia="Times New Roman"/>
          <w:color w:val="000000" w:themeColor="text1"/>
          <w:szCs w:val="24"/>
        </w:rPr>
        <w:t>Eel River Crossing’s first election s</w:t>
      </w:r>
      <w:r w:rsidR="00ED6F3F">
        <w:rPr>
          <w:rFonts w:eastAsia="Times New Roman"/>
          <w:color w:val="000000" w:themeColor="text1"/>
          <w:szCs w:val="24"/>
        </w:rPr>
        <w:t xml:space="preserve">aw 8 </w:t>
      </w:r>
      <w:r w:rsidR="00ED6F3F" w:rsidRPr="00226288">
        <w:rPr>
          <w:rFonts w:eastAsia="Times New Roman"/>
          <w:color w:val="000000" w:themeColor="text1"/>
          <w:szCs w:val="24"/>
        </w:rPr>
        <w:t xml:space="preserve">candidates compete for 4 at-large </w:t>
      </w:r>
      <w:proofErr w:type="spellStart"/>
      <w:r w:rsidR="00ED6F3F" w:rsidRPr="00226288">
        <w:rPr>
          <w:rFonts w:eastAsia="Times New Roman"/>
          <w:color w:val="000000" w:themeColor="text1"/>
          <w:szCs w:val="24"/>
        </w:rPr>
        <w:t>councillor</w:t>
      </w:r>
      <w:proofErr w:type="spellEnd"/>
      <w:r w:rsidR="00ED6F3F" w:rsidRPr="00226288">
        <w:rPr>
          <w:rFonts w:eastAsia="Times New Roman"/>
          <w:color w:val="000000" w:themeColor="text1"/>
          <w:szCs w:val="24"/>
        </w:rPr>
        <w:t xml:space="preserve"> positions. Of these </w:t>
      </w:r>
      <w:r w:rsidR="00ED6F3F">
        <w:rPr>
          <w:rFonts w:eastAsia="Times New Roman"/>
          <w:color w:val="000000" w:themeColor="text1"/>
          <w:szCs w:val="24"/>
        </w:rPr>
        <w:t>8</w:t>
      </w:r>
      <w:r w:rsidR="00ED6F3F" w:rsidRPr="00226288">
        <w:rPr>
          <w:rFonts w:eastAsia="Times New Roman"/>
          <w:color w:val="000000" w:themeColor="text1"/>
          <w:szCs w:val="24"/>
        </w:rPr>
        <w:t xml:space="preserve"> candidates, 4 were from previously unincorporated areas. </w:t>
      </w:r>
      <w:r w:rsidR="004A420D">
        <w:rPr>
          <w:rFonts w:eastAsia="Times New Roman"/>
          <w:color w:val="000000" w:themeColor="text1"/>
          <w:szCs w:val="24"/>
        </w:rPr>
        <w:t xml:space="preserve">Because the population of these LSDs represent </w:t>
      </w:r>
      <w:r w:rsidR="00091112">
        <w:rPr>
          <w:rFonts w:eastAsia="Times New Roman"/>
          <w:color w:val="000000" w:themeColor="text1"/>
          <w:szCs w:val="24"/>
        </w:rPr>
        <w:t xml:space="preserve">just less than </w:t>
      </w:r>
      <w:r w:rsidR="004A420D">
        <w:rPr>
          <w:rFonts w:eastAsia="Times New Roman"/>
          <w:color w:val="000000" w:themeColor="text1"/>
          <w:szCs w:val="24"/>
        </w:rPr>
        <w:t xml:space="preserve">half of the proposed entity’s total population, </w:t>
      </w:r>
      <w:r w:rsidR="003F6376">
        <w:rPr>
          <w:rFonts w:eastAsia="Times New Roman"/>
          <w:color w:val="000000" w:themeColor="text1"/>
          <w:szCs w:val="24"/>
        </w:rPr>
        <w:t xml:space="preserve">enabling their participation as both voters and candidates will give </w:t>
      </w:r>
      <w:r w:rsidR="00866A57">
        <w:rPr>
          <w:rFonts w:eastAsia="Times New Roman"/>
          <w:color w:val="000000" w:themeColor="text1"/>
          <w:szCs w:val="24"/>
        </w:rPr>
        <w:t>Entity 53</w:t>
      </w:r>
      <w:r w:rsidR="003F6376">
        <w:rPr>
          <w:rFonts w:eastAsia="Times New Roman"/>
          <w:color w:val="000000" w:themeColor="text1"/>
          <w:szCs w:val="24"/>
        </w:rPr>
        <w:t xml:space="preserve"> a better chance at developing healthy and sustainable democratic institutions. </w:t>
      </w:r>
    </w:p>
    <w:p w14:paraId="3EC3BF32" w14:textId="0FE57565" w:rsidR="00226288" w:rsidRPr="00431ACD" w:rsidRDefault="00226288" w:rsidP="00514622">
      <w:pPr>
        <w:jc w:val="both"/>
        <w:rPr>
          <w:rFonts w:eastAsia="Times New Roman"/>
          <w:color w:val="000000" w:themeColor="text1"/>
          <w:szCs w:val="24"/>
        </w:rPr>
      </w:pPr>
      <w:r w:rsidRPr="00226288">
        <w:rPr>
          <w:rFonts w:eastAsia="Times New Roman"/>
          <w:b/>
          <w:bCs/>
          <w:szCs w:val="24"/>
        </w:rPr>
        <w:t>Financial Base</w:t>
      </w:r>
    </w:p>
    <w:p w14:paraId="768AB3F5" w14:textId="44191DD3" w:rsidR="00226288" w:rsidRPr="00226288" w:rsidRDefault="00866A57" w:rsidP="00514622">
      <w:pPr>
        <w:jc w:val="both"/>
      </w:pPr>
      <w:r>
        <w:t>Entity 53</w:t>
      </w:r>
      <w:r w:rsidR="00226288" w:rsidRPr="00226288">
        <w:t xml:space="preserve"> will also have a financial base capable of service provision beyond a simple aggregation of the assessed value of each constituent municipality and LSD. Under the new framework, municipal revenues will come from a combination of equalization payments from the provincial government, municipal property taxes, and other user fees related to services like water and wastewater usage. </w:t>
      </w:r>
    </w:p>
    <w:p w14:paraId="174373D2" w14:textId="7C2442D7" w:rsidR="004B5AD8" w:rsidRPr="005D285C" w:rsidRDefault="004B5AD8" w:rsidP="004B5AD8">
      <w:pPr>
        <w:rPr>
          <w:rFonts w:eastAsia="Times New Roman"/>
          <w:color w:val="000000"/>
          <w:sz w:val="20"/>
          <w:szCs w:val="20"/>
          <w:lang w:val="en-CA" w:eastAsia="en-CA"/>
        </w:rPr>
      </w:pPr>
      <w:r w:rsidRPr="00226288">
        <w:t xml:space="preserve">Because its population is </w:t>
      </w:r>
      <w:r>
        <w:t>below</w:t>
      </w:r>
      <w:r w:rsidRPr="00226288">
        <w:t xml:space="preserve"> </w:t>
      </w:r>
      <w:r>
        <w:t>10000</w:t>
      </w:r>
      <w:r w:rsidRPr="00226288">
        <w:t xml:space="preserve">, </w:t>
      </w:r>
      <w:r>
        <w:t>Entity 53 would qualify as a ‘Group A’</w:t>
      </w:r>
      <w:r w:rsidRPr="00226288">
        <w:t xml:space="preserve"> municipality</w:t>
      </w:r>
      <w:r>
        <w:t xml:space="preserve">. As Entity 53’s assessment base per capita </w:t>
      </w:r>
      <w:r w:rsidRPr="000852E9">
        <w:rPr>
          <w:szCs w:val="24"/>
        </w:rPr>
        <w:t xml:space="preserve">would </w:t>
      </w:r>
      <w:r>
        <w:rPr>
          <w:szCs w:val="24"/>
        </w:rPr>
        <w:t>be greater than</w:t>
      </w:r>
      <w:r w:rsidRPr="000852E9">
        <w:rPr>
          <w:szCs w:val="24"/>
        </w:rPr>
        <w:t xml:space="preserve"> the group average, </w:t>
      </w:r>
      <w:r>
        <w:rPr>
          <w:szCs w:val="24"/>
        </w:rPr>
        <w:t>it would not be entitled to an</w:t>
      </w:r>
      <w:r w:rsidRPr="000852E9">
        <w:rPr>
          <w:szCs w:val="24"/>
        </w:rPr>
        <w:t xml:space="preserve"> annual equalization </w:t>
      </w:r>
      <w:r w:rsidRPr="00FA1F49">
        <w:rPr>
          <w:szCs w:val="24"/>
        </w:rPr>
        <w:t>grant</w:t>
      </w:r>
      <w:r>
        <w:rPr>
          <w:szCs w:val="24"/>
        </w:rPr>
        <w:t>.</w:t>
      </w:r>
      <w:r w:rsidRPr="00FA1F49">
        <w:rPr>
          <w:szCs w:val="24"/>
        </w:rPr>
        <w:t xml:space="preserve"> </w:t>
      </w:r>
      <w:r>
        <w:rPr>
          <w:rFonts w:eastAsia="Times New Roman"/>
          <w:color w:val="000000"/>
          <w:szCs w:val="24"/>
          <w:lang w:val="en-CA" w:eastAsia="en-CA"/>
        </w:rPr>
        <w:t>Rather, equal opportunity among the 53 municipalities would be guaranteed by its expanded tax warrant. W</w:t>
      </w:r>
      <w:proofErr w:type="spellStart"/>
      <w:r w:rsidRPr="009E0C04">
        <w:rPr>
          <w:szCs w:val="24"/>
        </w:rPr>
        <w:t>ith</w:t>
      </w:r>
      <w:proofErr w:type="spellEnd"/>
      <w:r w:rsidRPr="009E0C04">
        <w:rPr>
          <w:szCs w:val="24"/>
        </w:rPr>
        <w:t xml:space="preserve"> the tax room transfer from the provincial</w:t>
      </w:r>
      <w:r w:rsidRPr="00C61508">
        <w:rPr>
          <w:szCs w:val="24"/>
        </w:rPr>
        <w:t xml:space="preserve"> government </w:t>
      </w:r>
      <w:r w:rsidRPr="00BE54BC">
        <w:rPr>
          <w:szCs w:val="24"/>
        </w:rPr>
        <w:t xml:space="preserve">to municipal governments included in the proposed new framework, </w:t>
      </w:r>
      <w:r>
        <w:rPr>
          <w:szCs w:val="24"/>
        </w:rPr>
        <w:t>Entity 53</w:t>
      </w:r>
      <w:r w:rsidRPr="00BE54BC">
        <w:rPr>
          <w:szCs w:val="24"/>
        </w:rPr>
        <w:t>’s assessment</w:t>
      </w:r>
      <w:r w:rsidRPr="00582EE9">
        <w:rPr>
          <w:szCs w:val="24"/>
        </w:rPr>
        <w:t xml:space="preserve"> base of </w:t>
      </w:r>
      <w:r w:rsidR="00582EE9" w:rsidRPr="00582EE9">
        <w:rPr>
          <w:rFonts w:eastAsia="Times New Roman"/>
          <w:color w:val="000000"/>
          <w:szCs w:val="24"/>
          <w:lang w:val="en-CA" w:eastAsia="en-CA"/>
        </w:rPr>
        <w:t xml:space="preserve">$676,028,700 </w:t>
      </w:r>
      <w:r w:rsidRPr="00582EE9">
        <w:rPr>
          <w:szCs w:val="24"/>
        </w:rPr>
        <w:t xml:space="preserve">would be able to yield more revenue than it could under the current local governance regime. Equal </w:t>
      </w:r>
      <w:r w:rsidRPr="004E399E">
        <w:rPr>
          <w:szCs w:val="24"/>
        </w:rPr>
        <w:t>Opportunity among municipalities remains a priority in the new framework, but the primary guarantor of said equality is now tax warrants rather than equalization</w:t>
      </w:r>
      <w:r>
        <w:t xml:space="preserve"> payments.</w:t>
      </w:r>
    </w:p>
    <w:p w14:paraId="61B53BEF" w14:textId="33095DC6" w:rsidR="00226288" w:rsidRPr="00226288" w:rsidRDefault="00226288" w:rsidP="00514622">
      <w:pPr>
        <w:jc w:val="both"/>
      </w:pPr>
      <w:r w:rsidRPr="00226288">
        <w:lastRenderedPageBreak/>
        <w:t xml:space="preserve">Beyond this unconditional grant, however, </w:t>
      </w:r>
      <w:r w:rsidR="00866A57">
        <w:t>Entity 53</w:t>
      </w:r>
      <w:r w:rsidRPr="00226288">
        <w:t xml:space="preserve"> will have additional revenue raising power. Of course, this tax room transfer does not necessitate that property tax rates will increase by $1.50 per $100 of valuation across </w:t>
      </w:r>
      <w:r w:rsidR="00866A57">
        <w:t>Entity 53</w:t>
      </w:r>
      <w:r w:rsidRPr="00226288">
        <w:t xml:space="preserve">, nor does it indicate that the entire municipality will operate with one uniform property tax rate. </w:t>
      </w:r>
      <w:r w:rsidRPr="00226288">
        <w:rPr>
          <w:rFonts w:eastAsia="Times New Roman"/>
          <w:szCs w:val="24"/>
        </w:rPr>
        <w:t xml:space="preserve">Because </w:t>
      </w:r>
      <w:r w:rsidR="00866A57">
        <w:rPr>
          <w:rFonts w:eastAsia="Times New Roman"/>
          <w:szCs w:val="24"/>
        </w:rPr>
        <w:t>Entity 53</w:t>
      </w:r>
      <w:r w:rsidRPr="00226288">
        <w:rPr>
          <w:rFonts w:eastAsia="Times New Roman"/>
          <w:szCs w:val="24"/>
        </w:rPr>
        <w:t xml:space="preserve"> would be composed of suburban and rural populations and since the level of local services may vary considerably within the same municipality, existing provisions regarding differentiated tax rates within the same municipality would need to be used. Residents within each municipality should be taxed for the level of services they receive.</w:t>
      </w:r>
      <w:r w:rsidRPr="00226288">
        <w:rPr>
          <w:rFonts w:eastAsia="Times New Roman"/>
          <w:szCs w:val="24"/>
          <w:vertAlign w:val="superscript"/>
        </w:rPr>
        <w:footnoteReference w:id="3"/>
      </w:r>
    </w:p>
    <w:p w14:paraId="00C93790" w14:textId="27F35206" w:rsidR="00226288" w:rsidRPr="00226288" w:rsidRDefault="00226288" w:rsidP="00514622">
      <w:pPr>
        <w:jc w:val="both"/>
      </w:pPr>
      <w:r w:rsidRPr="00226288">
        <w:t>As has been seen in many municipalities around the province, municipalities can adopt differing tax rates for different areas under their jurisdiction. For example, while Eel River Crossing’s property tax rate in 201</w:t>
      </w:r>
      <w:r w:rsidR="00234790">
        <w:t>1</w:t>
      </w:r>
      <w:r w:rsidRPr="00226288">
        <w:t xml:space="preserve"> was $1.32 per $100, each former LSD had different, lower property tax rates appropriate to their circumstances. Similar situations can be found across the province, with some cities even imposing different tax rates for those inside and outside the urban center. </w:t>
      </w:r>
      <w:r w:rsidR="003011C3">
        <w:t xml:space="preserve">Edmundston currently has a single property tax rate, but if the proposed entity was created, </w:t>
      </w:r>
      <w:r w:rsidR="00866A57">
        <w:t>Entity 53</w:t>
      </w:r>
      <w:r w:rsidR="003011C3">
        <w:t xml:space="preserve"> could easily implement a two tiered property tax regime similar to Fredericton and Dieppe where those inside the urban area and those outside are charged substantially different rates.  </w:t>
      </w:r>
    </w:p>
    <w:p w14:paraId="42654CD4" w14:textId="43861954" w:rsidR="00226288" w:rsidRPr="00226288" w:rsidRDefault="00226288" w:rsidP="00514622">
      <w:pPr>
        <w:jc w:val="both"/>
      </w:pPr>
      <w:r w:rsidRPr="00226288">
        <w:t xml:space="preserve">Overall, then, </w:t>
      </w:r>
      <w:r w:rsidR="00866A57">
        <w:t>Entity 53</w:t>
      </w:r>
      <w:r w:rsidRPr="00226288">
        <w:t xml:space="preserve"> would have a financial base appropriate to its size and population. With such a financial base, the municipal entity could be as ambitious or cautious in its service provision as its residents please. </w:t>
      </w:r>
    </w:p>
    <w:p w14:paraId="43413FBA" w14:textId="0AF079FC" w:rsidR="00226288" w:rsidRPr="00226288" w:rsidRDefault="00226288" w:rsidP="00514622">
      <w:pPr>
        <w:jc w:val="both"/>
        <w:rPr>
          <w:b/>
          <w:bCs/>
        </w:rPr>
      </w:pPr>
      <w:r w:rsidRPr="00226288">
        <w:rPr>
          <w:b/>
          <w:bCs/>
        </w:rPr>
        <w:t>Division of Municipal and Provincial Responsibilities</w:t>
      </w:r>
    </w:p>
    <w:p w14:paraId="3936984A" w14:textId="505EABB8" w:rsidR="00226288" w:rsidRPr="00226288" w:rsidRDefault="00226288" w:rsidP="00514622">
      <w:pPr>
        <w:jc w:val="both"/>
      </w:pPr>
      <w:r w:rsidRPr="00226288">
        <w:rPr>
          <w:rFonts w:eastAsia="Times New Roman"/>
          <w:szCs w:val="24"/>
        </w:rPr>
        <w:t xml:space="preserve">In addition to </w:t>
      </w:r>
      <w:r w:rsidRPr="00226288">
        <w:t>policing, emergency measures planning,</w:t>
      </w:r>
      <w:r w:rsidRPr="00226288">
        <w:rPr>
          <w:rFonts w:eastAsia="Times New Roman"/>
          <w:szCs w:val="24"/>
        </w:rPr>
        <w:t xml:space="preserve"> fire prevention and suppression, roads, and garbage disposal, a municipality may choose to enlarge its role and provide a great number of other services. Many municipalities also take responsibility for local arts and culture, parks and recreation, public transportation, and more. Whether or not this sort of expansion is done is entirely up to the residents of </w:t>
      </w:r>
      <w:r w:rsidR="00866A57">
        <w:rPr>
          <w:rFonts w:eastAsia="Times New Roman"/>
          <w:szCs w:val="24"/>
        </w:rPr>
        <w:t>Entity 53</w:t>
      </w:r>
      <w:r w:rsidRPr="00226288">
        <w:rPr>
          <w:rFonts w:eastAsia="Times New Roman"/>
          <w:szCs w:val="24"/>
        </w:rPr>
        <w:t xml:space="preserve">, and the tax rates of the entity would reflect this level of service. </w:t>
      </w:r>
    </w:p>
    <w:p w14:paraId="7E7D20ED" w14:textId="26BCE6FF" w:rsidR="00226288" w:rsidRPr="00226288" w:rsidRDefault="00226288" w:rsidP="00514622">
      <w:pPr>
        <w:jc w:val="both"/>
        <w:rPr>
          <w:rFonts w:eastAsia="Times New Roman"/>
          <w:szCs w:val="24"/>
        </w:rPr>
      </w:pPr>
      <w:r w:rsidRPr="00226288">
        <w:rPr>
          <w:rFonts w:eastAsia="Times New Roman"/>
          <w:szCs w:val="24"/>
        </w:rPr>
        <w:t xml:space="preserve">Many of these services, however, would be better served being provided at the regional rather than local level. Rather than leaving some services in the care of the province, the new framework provides Regional Service Districts within which municipalities can collaborate on such basic services as policing, waste management, economic development, and land-use planning. Collaboration on these issues will further reduce cost for services, allowing property tax rates to remain at a reasonable rate. </w:t>
      </w:r>
    </w:p>
    <w:p w14:paraId="21652055" w14:textId="2F71E142" w:rsidR="00226288" w:rsidRPr="00226288" w:rsidRDefault="00866A57" w:rsidP="00514622">
      <w:pPr>
        <w:jc w:val="both"/>
        <w:rPr>
          <w:rFonts w:eastAsia="Times New Roman"/>
          <w:szCs w:val="24"/>
        </w:rPr>
      </w:pPr>
      <w:r>
        <w:rPr>
          <w:rFonts w:eastAsia="Times New Roman"/>
          <w:szCs w:val="24"/>
        </w:rPr>
        <w:t>Entity 53</w:t>
      </w:r>
      <w:r w:rsidR="00226288" w:rsidRPr="00226288">
        <w:rPr>
          <w:rFonts w:eastAsia="Times New Roman"/>
          <w:szCs w:val="24"/>
        </w:rPr>
        <w:t xml:space="preserve"> would belong to </w:t>
      </w:r>
      <w:r w:rsidR="00813AB0">
        <w:rPr>
          <w:rFonts w:eastAsia="Times New Roman"/>
          <w:szCs w:val="24"/>
        </w:rPr>
        <w:t>RSD 12</w:t>
      </w:r>
      <w:r w:rsidR="00226288" w:rsidRPr="00226288">
        <w:rPr>
          <w:rFonts w:eastAsia="Times New Roman"/>
          <w:szCs w:val="24"/>
        </w:rPr>
        <w:t xml:space="preserve"> along with its </w:t>
      </w:r>
      <w:proofErr w:type="spellStart"/>
      <w:r w:rsidR="00226288" w:rsidRPr="00226288">
        <w:rPr>
          <w:rFonts w:eastAsia="Times New Roman"/>
          <w:szCs w:val="24"/>
        </w:rPr>
        <w:t>neighbours</w:t>
      </w:r>
      <w:proofErr w:type="spellEnd"/>
      <w:r w:rsidR="00226288" w:rsidRPr="00226288">
        <w:rPr>
          <w:rFonts w:eastAsia="Times New Roman"/>
          <w:szCs w:val="24"/>
        </w:rPr>
        <w:t xml:space="preserve"> Entities </w:t>
      </w:r>
      <w:r w:rsidR="0056335E">
        <w:rPr>
          <w:rFonts w:eastAsia="Times New Roman"/>
          <w:szCs w:val="24"/>
        </w:rPr>
        <w:t>5</w:t>
      </w:r>
      <w:r w:rsidR="00E62E97">
        <w:rPr>
          <w:rFonts w:eastAsia="Times New Roman"/>
          <w:szCs w:val="24"/>
        </w:rPr>
        <w:t>1</w:t>
      </w:r>
      <w:r w:rsidR="0056335E">
        <w:rPr>
          <w:rFonts w:eastAsia="Times New Roman"/>
          <w:szCs w:val="24"/>
        </w:rPr>
        <w:t xml:space="preserve"> and 5</w:t>
      </w:r>
      <w:r w:rsidR="00C87391">
        <w:rPr>
          <w:rFonts w:eastAsia="Times New Roman"/>
          <w:szCs w:val="24"/>
        </w:rPr>
        <w:t>2</w:t>
      </w:r>
      <w:r w:rsidR="008E30F8">
        <w:rPr>
          <w:rFonts w:eastAsia="Times New Roman"/>
          <w:szCs w:val="24"/>
        </w:rPr>
        <w:t xml:space="preserve">, </w:t>
      </w:r>
      <w:r w:rsidR="00C72451">
        <w:rPr>
          <w:rFonts w:eastAsia="Times New Roman"/>
          <w:szCs w:val="24"/>
        </w:rPr>
        <w:t>covering Carleton county and the western portion of York county</w:t>
      </w:r>
      <w:r w:rsidR="00226288" w:rsidRPr="00226288">
        <w:rPr>
          <w:rFonts w:eastAsia="Times New Roman"/>
          <w:szCs w:val="24"/>
        </w:rPr>
        <w:t xml:space="preserve">. As with each municipal entity, RSDs could conceivably be named, but this would be left to each to determine for itself. All </w:t>
      </w:r>
      <w:r w:rsidR="00C72451">
        <w:rPr>
          <w:rFonts w:eastAsia="Times New Roman"/>
          <w:szCs w:val="24"/>
        </w:rPr>
        <w:t>3</w:t>
      </w:r>
      <w:r w:rsidR="00226288" w:rsidRPr="00226288">
        <w:rPr>
          <w:rFonts w:eastAsia="Times New Roman"/>
          <w:szCs w:val="24"/>
        </w:rPr>
        <w:t xml:space="preserve"> entities </w:t>
      </w:r>
      <w:r w:rsidR="005D06CF">
        <w:rPr>
          <w:rFonts w:eastAsia="Times New Roman"/>
          <w:szCs w:val="24"/>
        </w:rPr>
        <w:t>w</w:t>
      </w:r>
      <w:r w:rsidR="00226288" w:rsidRPr="00226288">
        <w:rPr>
          <w:rFonts w:eastAsia="Times New Roman"/>
          <w:szCs w:val="24"/>
        </w:rPr>
        <w:t>ould b</w:t>
      </w:r>
      <w:r w:rsidR="00FE7ED2">
        <w:rPr>
          <w:rFonts w:eastAsia="Times New Roman"/>
          <w:szCs w:val="24"/>
        </w:rPr>
        <w:t xml:space="preserve">e </w:t>
      </w:r>
      <w:r w:rsidR="00226288" w:rsidRPr="00226288">
        <w:rPr>
          <w:rFonts w:eastAsia="Times New Roman"/>
          <w:szCs w:val="24"/>
        </w:rPr>
        <w:t xml:space="preserve">partners in the provision of regional services, with each contributing in accordance with their respective demographic and tax bases. </w:t>
      </w:r>
    </w:p>
    <w:p w14:paraId="576EEDAA" w14:textId="3EDB7D70" w:rsidR="00F31C17" w:rsidRDefault="00582EE9" w:rsidP="00514622">
      <w:pPr>
        <w:jc w:val="both"/>
        <w:rPr>
          <w:rFonts w:eastAsia="Times New Roman"/>
          <w:szCs w:val="24"/>
        </w:rPr>
      </w:pPr>
      <w:r>
        <w:rPr>
          <w:noProof/>
          <w:szCs w:val="24"/>
        </w:rPr>
        <w:lastRenderedPageBreak/>
        <w:drawing>
          <wp:anchor distT="0" distB="0" distL="114300" distR="114300" simplePos="0" relativeHeight="251666944" behindDoc="0" locked="0" layoutInCell="1" allowOverlap="1" wp14:anchorId="3EFE97F1" wp14:editId="59D70691">
            <wp:simplePos x="0" y="0"/>
            <wp:positionH relativeFrom="column">
              <wp:posOffset>2695078</wp:posOffset>
            </wp:positionH>
            <wp:positionV relativeFrom="paragraph">
              <wp:posOffset>1106225</wp:posOffset>
            </wp:positionV>
            <wp:extent cx="3327400" cy="5814060"/>
            <wp:effectExtent l="0" t="0" r="6350" b="0"/>
            <wp:wrapThrough wrapText="bothSides">
              <wp:wrapPolygon edited="0">
                <wp:start x="0" y="0"/>
                <wp:lineTo x="0" y="21515"/>
                <wp:lineTo x="21518" y="21515"/>
                <wp:lineTo x="2151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7400" cy="5814060"/>
                    </a:xfrm>
                    <a:prstGeom prst="rect">
                      <a:avLst/>
                    </a:prstGeom>
                    <a:noFill/>
                  </pic:spPr>
                </pic:pic>
              </a:graphicData>
            </a:graphic>
            <wp14:sizeRelH relativeFrom="page">
              <wp14:pctWidth>0</wp14:pctWidth>
            </wp14:sizeRelH>
            <wp14:sizeRelV relativeFrom="page">
              <wp14:pctHeight>0</wp14:pctHeight>
            </wp14:sizeRelV>
          </wp:anchor>
        </w:drawing>
      </w:r>
      <w:r w:rsidR="00226288" w:rsidRPr="00226288">
        <w:rPr>
          <w:rFonts w:eastAsia="Times New Roman"/>
          <w:szCs w:val="24"/>
        </w:rPr>
        <w:t xml:space="preserve">While this region is far too large to be incorporated into a single municipality, the populations nonetheless have a great deal of shared experiences and challenges. </w:t>
      </w:r>
      <w:r w:rsidR="00375326">
        <w:rPr>
          <w:rFonts w:eastAsia="Times New Roman"/>
          <w:szCs w:val="24"/>
        </w:rPr>
        <w:t xml:space="preserve">63% of commuters </w:t>
      </w:r>
      <w:r w:rsidR="00C5322C">
        <w:rPr>
          <w:rFonts w:eastAsia="Times New Roman"/>
          <w:szCs w:val="24"/>
        </w:rPr>
        <w:t>travel out of their own community every day, but remain within their own county, indicating a high level of economic interconnectivity in RSD 12.</w:t>
      </w:r>
      <w:r w:rsidR="00342506">
        <w:rPr>
          <w:rFonts w:eastAsia="Times New Roman"/>
          <w:szCs w:val="24"/>
        </w:rPr>
        <w:t xml:space="preserve"> </w:t>
      </w:r>
      <w:r w:rsidR="004E40A6">
        <w:rPr>
          <w:rFonts w:eastAsia="Times New Roman"/>
          <w:szCs w:val="24"/>
        </w:rPr>
        <w:t>Likewise,</w:t>
      </w:r>
      <w:r w:rsidR="009C4DFB">
        <w:rPr>
          <w:rFonts w:eastAsia="Times New Roman"/>
          <w:szCs w:val="24"/>
        </w:rPr>
        <w:t xml:space="preserve"> in the four local governance entities which </w:t>
      </w:r>
      <w:proofErr w:type="gramStart"/>
      <w:r w:rsidR="009C4DFB">
        <w:rPr>
          <w:rFonts w:eastAsia="Times New Roman"/>
          <w:szCs w:val="24"/>
        </w:rPr>
        <w:t>are located in</w:t>
      </w:r>
      <w:proofErr w:type="gramEnd"/>
      <w:r w:rsidR="009C4DFB">
        <w:rPr>
          <w:rFonts w:eastAsia="Times New Roman"/>
          <w:szCs w:val="24"/>
        </w:rPr>
        <w:t xml:space="preserve"> York county, </w:t>
      </w:r>
      <w:r w:rsidR="001F74EA">
        <w:rPr>
          <w:rFonts w:eastAsia="Times New Roman"/>
          <w:szCs w:val="24"/>
        </w:rPr>
        <w:t>commuters who travel out of their own county and into another is the largest demographic</w:t>
      </w:r>
      <w:r w:rsidR="00383314">
        <w:rPr>
          <w:rFonts w:eastAsia="Times New Roman"/>
          <w:szCs w:val="24"/>
        </w:rPr>
        <w:t xml:space="preserve">, indicating these communities’ connection to Carleton county rather than the </w:t>
      </w:r>
      <w:r w:rsidR="0055074D">
        <w:rPr>
          <w:rFonts w:eastAsia="Times New Roman"/>
          <w:szCs w:val="24"/>
        </w:rPr>
        <w:t>expansive York county.</w:t>
      </w:r>
    </w:p>
    <w:p w14:paraId="7BEFB9DD" w14:textId="780BCCA5" w:rsidR="00226288" w:rsidRPr="00226288" w:rsidRDefault="0055074D" w:rsidP="00514622">
      <w:pPr>
        <w:jc w:val="both"/>
        <w:rPr>
          <w:rFonts w:eastAsia="Times New Roman"/>
          <w:szCs w:val="24"/>
        </w:rPr>
      </w:pPr>
      <w:r>
        <w:rPr>
          <w:rFonts w:eastAsia="Times New Roman"/>
          <w:szCs w:val="24"/>
        </w:rPr>
        <w:t xml:space="preserve">By </w:t>
      </w:r>
      <w:r w:rsidR="004E40A6">
        <w:rPr>
          <w:rFonts w:eastAsia="Times New Roman"/>
          <w:szCs w:val="24"/>
        </w:rPr>
        <w:t>better enabling municipalities to provide the services their citizens require through cooperation in service provision, t</w:t>
      </w:r>
      <w:r w:rsidR="00226288" w:rsidRPr="00226288">
        <w:rPr>
          <w:rFonts w:eastAsia="Times New Roman"/>
          <w:szCs w:val="24"/>
        </w:rPr>
        <w:t xml:space="preserve">he new framework would therefor clarify the distinction between municipal and provincial responsibilities. While today the service provision of roads, animal control, and policing is dependent on whether or not you live in an incorporated or unincorporated local governance entity, in the new framework, all of these services will be provided by the municipal government. When the residents know exactly who is accountable for what, services will improve. </w:t>
      </w:r>
    </w:p>
    <w:p w14:paraId="36BA5224" w14:textId="77777777" w:rsidR="00226288" w:rsidRPr="00226288" w:rsidRDefault="00226288" w:rsidP="00514622">
      <w:pPr>
        <w:jc w:val="both"/>
        <w:rPr>
          <w:rFonts w:eastAsia="Times New Roman"/>
          <w:b/>
          <w:bCs/>
          <w:szCs w:val="24"/>
        </w:rPr>
      </w:pPr>
      <w:r w:rsidRPr="00226288">
        <w:rPr>
          <w:rFonts w:eastAsia="Times New Roman"/>
          <w:b/>
          <w:bCs/>
          <w:szCs w:val="24"/>
        </w:rPr>
        <w:t>Summation</w:t>
      </w:r>
    </w:p>
    <w:p w14:paraId="24EDF67D" w14:textId="7CDF3546" w:rsidR="00226288" w:rsidRPr="00226288" w:rsidRDefault="00226288" w:rsidP="00514622">
      <w:pPr>
        <w:jc w:val="both"/>
        <w:rPr>
          <w:rFonts w:eastAsia="Times New Roman"/>
          <w:szCs w:val="24"/>
        </w:rPr>
      </w:pPr>
      <w:r w:rsidRPr="00226288">
        <w:rPr>
          <w:rFonts w:eastAsia="Times New Roman"/>
          <w:szCs w:val="24"/>
        </w:rPr>
        <w:t xml:space="preserve">Overall, </w:t>
      </w:r>
      <w:r w:rsidR="00866A57">
        <w:rPr>
          <w:rFonts w:eastAsia="Times New Roman"/>
          <w:szCs w:val="24"/>
        </w:rPr>
        <w:t>Entity 53</w:t>
      </w:r>
      <w:r w:rsidRPr="00226288">
        <w:rPr>
          <w:rFonts w:eastAsia="Times New Roman"/>
          <w:szCs w:val="24"/>
        </w:rPr>
        <w:t xml:space="preserve"> would allow all residents of the </w:t>
      </w:r>
      <w:r w:rsidR="0086227A">
        <w:rPr>
          <w:rFonts w:eastAsia="Times New Roman"/>
          <w:szCs w:val="24"/>
        </w:rPr>
        <w:t xml:space="preserve">province’s northern panhandle </w:t>
      </w:r>
      <w:r w:rsidRPr="00226288">
        <w:rPr>
          <w:rFonts w:eastAsia="Times New Roman"/>
          <w:szCs w:val="24"/>
        </w:rPr>
        <w:t>to enjoy a comparable level of service in correlation with their level of taxation, to feel represented at a local level and have a real say in how their property tax dollars are being spent, and create a municipal entity that is sustainable enough to navigate the demographic and economic challenges of the 21</w:t>
      </w:r>
      <w:r w:rsidRPr="00226288">
        <w:rPr>
          <w:rFonts w:eastAsia="Times New Roman"/>
          <w:szCs w:val="24"/>
          <w:vertAlign w:val="superscript"/>
        </w:rPr>
        <w:t>st</w:t>
      </w:r>
      <w:r w:rsidRPr="00226288">
        <w:rPr>
          <w:rFonts w:eastAsia="Times New Roman"/>
          <w:szCs w:val="24"/>
        </w:rPr>
        <w:t xml:space="preserve"> century. </w:t>
      </w:r>
    </w:p>
    <w:p w14:paraId="5815D0DB" w14:textId="77777777" w:rsidR="00226288" w:rsidRPr="00226288" w:rsidRDefault="00226288" w:rsidP="00514622">
      <w:pPr>
        <w:jc w:val="both"/>
        <w:rPr>
          <w:szCs w:val="24"/>
        </w:rPr>
      </w:pPr>
    </w:p>
    <w:p w14:paraId="2C0925F5" w14:textId="3EA59B9D" w:rsidR="47626E9A" w:rsidRPr="00E16335" w:rsidRDefault="47626E9A" w:rsidP="00514622">
      <w:pPr>
        <w:jc w:val="both"/>
      </w:pPr>
    </w:p>
    <w:sectPr w:rsidR="47626E9A" w:rsidRPr="00E1633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6E144" w14:textId="77777777" w:rsidR="00996C49" w:rsidRDefault="00996C49" w:rsidP="00533253">
      <w:pPr>
        <w:spacing w:after="0" w:line="240" w:lineRule="auto"/>
      </w:pPr>
      <w:r>
        <w:separator/>
      </w:r>
    </w:p>
  </w:endnote>
  <w:endnote w:type="continuationSeparator" w:id="0">
    <w:p w14:paraId="724FBB41" w14:textId="77777777" w:rsidR="00996C49" w:rsidRDefault="00996C49" w:rsidP="00533253">
      <w:pPr>
        <w:spacing w:after="0" w:line="240" w:lineRule="auto"/>
      </w:pPr>
      <w:r>
        <w:continuationSeparator/>
      </w:r>
    </w:p>
  </w:endnote>
  <w:endnote w:type="continuationNotice" w:id="1">
    <w:p w14:paraId="71824992" w14:textId="77777777" w:rsidR="00996C49" w:rsidRDefault="00996C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29DE2" w14:textId="77777777" w:rsidR="00996C49" w:rsidRDefault="00996C49" w:rsidP="00533253">
      <w:pPr>
        <w:spacing w:after="0" w:line="240" w:lineRule="auto"/>
      </w:pPr>
      <w:r>
        <w:separator/>
      </w:r>
    </w:p>
  </w:footnote>
  <w:footnote w:type="continuationSeparator" w:id="0">
    <w:p w14:paraId="4C272038" w14:textId="77777777" w:rsidR="00996C49" w:rsidRDefault="00996C49" w:rsidP="00533253">
      <w:pPr>
        <w:spacing w:after="0" w:line="240" w:lineRule="auto"/>
      </w:pPr>
      <w:r>
        <w:continuationSeparator/>
      </w:r>
    </w:p>
  </w:footnote>
  <w:footnote w:type="continuationNotice" w:id="1">
    <w:p w14:paraId="295F9FD4" w14:textId="77777777" w:rsidR="00996C49" w:rsidRDefault="00996C49">
      <w:pPr>
        <w:spacing w:after="0" w:line="240" w:lineRule="auto"/>
      </w:pPr>
    </w:p>
  </w:footnote>
  <w:footnote w:id="2">
    <w:p w14:paraId="48912EC8" w14:textId="4BD53EC8" w:rsidR="00226288" w:rsidRDefault="00226288" w:rsidP="249DB127">
      <w:pPr>
        <w:pStyle w:val="FootnoteText"/>
        <w:rPr>
          <w:rFonts w:ascii="Times New Roman" w:hAnsi="Times New Roman" w:cs="Times New Roman"/>
        </w:rPr>
      </w:pPr>
      <w:r w:rsidRPr="249DB127">
        <w:rPr>
          <w:rStyle w:val="FootnoteReference"/>
          <w:rFonts w:ascii="Times New Roman" w:hAnsi="Times New Roman" w:cs="Times New Roman"/>
        </w:rPr>
        <w:footnoteRef/>
      </w:r>
      <w:r w:rsidRPr="249DB127">
        <w:rPr>
          <w:rFonts w:ascii="Times New Roman" w:hAnsi="Times New Roman" w:cs="Times New Roman"/>
        </w:rPr>
        <w:t xml:space="preserve"> Finn, 1</w:t>
      </w:r>
      <w:r w:rsidR="00234790">
        <w:rPr>
          <w:rFonts w:ascii="Times New Roman" w:hAnsi="Times New Roman" w:cs="Times New Roman"/>
        </w:rPr>
        <w:t>1</w:t>
      </w:r>
      <w:r w:rsidRPr="249DB127">
        <w:rPr>
          <w:rFonts w:ascii="Times New Roman" w:hAnsi="Times New Roman" w:cs="Times New Roman"/>
        </w:rPr>
        <w:t>1.</w:t>
      </w:r>
    </w:p>
  </w:footnote>
  <w:footnote w:id="3">
    <w:p w14:paraId="04BC7F95" w14:textId="77777777" w:rsidR="00226288" w:rsidRDefault="00226288" w:rsidP="249DB127">
      <w:pPr>
        <w:pStyle w:val="FootnoteText"/>
      </w:pPr>
      <w:r w:rsidRPr="249DB127">
        <w:rPr>
          <w:rStyle w:val="FootnoteReference"/>
        </w:rPr>
        <w:footnoteRef/>
      </w:r>
      <w:r>
        <w:t xml:space="preserve"> Finn, 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985C4" w14:textId="21637191" w:rsidR="00497B75" w:rsidRDefault="00497B75">
    <w:pPr>
      <w:pStyle w:val="Header"/>
    </w:pPr>
    <w:r>
      <w:rPr>
        <w:noProof/>
        <w:lang w:val="en-CA" w:eastAsia="en-CA"/>
      </w:rPr>
      <w:drawing>
        <wp:anchor distT="0" distB="0" distL="114300" distR="114300" simplePos="0" relativeHeight="251658240" behindDoc="0" locked="0" layoutInCell="1" allowOverlap="1" wp14:anchorId="7F089C1E" wp14:editId="79426435">
          <wp:simplePos x="0" y="0"/>
          <wp:positionH relativeFrom="margin">
            <wp:posOffset>0</wp:posOffset>
          </wp:positionH>
          <wp:positionV relativeFrom="paragraph">
            <wp:posOffset>-457200</wp:posOffset>
          </wp:positionV>
          <wp:extent cx="5943600" cy="873760"/>
          <wp:effectExtent l="0" t="0" r="0" b="2540"/>
          <wp:wrapThrough wrapText="bothSides">
            <wp:wrapPolygon edited="0">
              <wp:start x="0" y="0"/>
              <wp:lineTo x="0" y="21192"/>
              <wp:lineTo x="21531" y="21192"/>
              <wp:lineTo x="21531" y="0"/>
              <wp:lineTo x="0" y="0"/>
            </wp:wrapPolygon>
          </wp:wrapThrough>
          <wp:docPr id="2" name="Picture 2"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8737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30778"/>
    <w:multiLevelType w:val="hybridMultilevel"/>
    <w:tmpl w:val="62500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40C7B"/>
    <w:multiLevelType w:val="hybridMultilevel"/>
    <w:tmpl w:val="06509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A36E5B"/>
    <w:multiLevelType w:val="hybridMultilevel"/>
    <w:tmpl w:val="4490A9C6"/>
    <w:lvl w:ilvl="0" w:tplc="FFFFFFFF">
      <w:start w:val="4"/>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9E0DE8"/>
    <w:multiLevelType w:val="hybridMultilevel"/>
    <w:tmpl w:val="FFFFFFFF"/>
    <w:lvl w:ilvl="0" w:tplc="77186112">
      <w:start w:val="4"/>
      <w:numFmt w:val="upperRoman"/>
      <w:lvlText w:val="%1."/>
      <w:lvlJc w:val="right"/>
      <w:pPr>
        <w:ind w:left="720" w:hanging="360"/>
      </w:pPr>
    </w:lvl>
    <w:lvl w:ilvl="1" w:tplc="6CC6855C">
      <w:start w:val="1"/>
      <w:numFmt w:val="lowerLetter"/>
      <w:lvlText w:val="%2."/>
      <w:lvlJc w:val="left"/>
      <w:pPr>
        <w:ind w:left="1440" w:hanging="360"/>
      </w:pPr>
    </w:lvl>
    <w:lvl w:ilvl="2" w:tplc="9B66144E">
      <w:start w:val="1"/>
      <w:numFmt w:val="lowerRoman"/>
      <w:lvlText w:val="%3."/>
      <w:lvlJc w:val="right"/>
      <w:pPr>
        <w:ind w:left="2160" w:hanging="180"/>
      </w:pPr>
    </w:lvl>
    <w:lvl w:ilvl="3" w:tplc="61BA71E6">
      <w:start w:val="1"/>
      <w:numFmt w:val="decimal"/>
      <w:lvlText w:val="%4."/>
      <w:lvlJc w:val="left"/>
      <w:pPr>
        <w:ind w:left="2880" w:hanging="360"/>
      </w:pPr>
    </w:lvl>
    <w:lvl w:ilvl="4" w:tplc="2752ED40">
      <w:start w:val="1"/>
      <w:numFmt w:val="lowerLetter"/>
      <w:lvlText w:val="%5."/>
      <w:lvlJc w:val="left"/>
      <w:pPr>
        <w:ind w:left="3600" w:hanging="360"/>
      </w:pPr>
    </w:lvl>
    <w:lvl w:ilvl="5" w:tplc="4FEC8AA2">
      <w:start w:val="1"/>
      <w:numFmt w:val="lowerRoman"/>
      <w:lvlText w:val="%6."/>
      <w:lvlJc w:val="right"/>
      <w:pPr>
        <w:ind w:left="4320" w:hanging="180"/>
      </w:pPr>
    </w:lvl>
    <w:lvl w:ilvl="6" w:tplc="CC0ED76A">
      <w:start w:val="1"/>
      <w:numFmt w:val="decimal"/>
      <w:lvlText w:val="%7."/>
      <w:lvlJc w:val="left"/>
      <w:pPr>
        <w:ind w:left="5040" w:hanging="360"/>
      </w:pPr>
    </w:lvl>
    <w:lvl w:ilvl="7" w:tplc="B0D204A8">
      <w:start w:val="1"/>
      <w:numFmt w:val="lowerLetter"/>
      <w:lvlText w:val="%8."/>
      <w:lvlJc w:val="left"/>
      <w:pPr>
        <w:ind w:left="5760" w:hanging="360"/>
      </w:pPr>
    </w:lvl>
    <w:lvl w:ilvl="8" w:tplc="E36EA08A">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US" w:vendorID="64" w:dllVersion="6" w:nlCheck="1" w:checkStyle="0"/>
  <w:activeWritingStyle w:appName="MSWord" w:lang="en-CA" w:vendorID="64" w:dllVersion="6" w:nlCheck="1" w:checkStyle="0"/>
  <w:activeWritingStyle w:appName="MSWord" w:lang="en-US" w:vendorID="64" w:dllVersion="0" w:nlCheck="1" w:checkStyle="0"/>
  <w:activeWritingStyle w:appName="MSWord" w:lang="en-CA"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FE2"/>
    <w:rsid w:val="00000176"/>
    <w:rsid w:val="00000375"/>
    <w:rsid w:val="0000746C"/>
    <w:rsid w:val="00007593"/>
    <w:rsid w:val="00011EC1"/>
    <w:rsid w:val="00015BE1"/>
    <w:rsid w:val="000238B0"/>
    <w:rsid w:val="00024CFD"/>
    <w:rsid w:val="000259AF"/>
    <w:rsid w:val="00025F29"/>
    <w:rsid w:val="00031BC5"/>
    <w:rsid w:val="000356BA"/>
    <w:rsid w:val="000361EA"/>
    <w:rsid w:val="0004189C"/>
    <w:rsid w:val="00050419"/>
    <w:rsid w:val="00054665"/>
    <w:rsid w:val="00061B5D"/>
    <w:rsid w:val="0006709B"/>
    <w:rsid w:val="0007121F"/>
    <w:rsid w:val="000726CD"/>
    <w:rsid w:val="00081AC4"/>
    <w:rsid w:val="000832B3"/>
    <w:rsid w:val="00091112"/>
    <w:rsid w:val="000947F5"/>
    <w:rsid w:val="0009529B"/>
    <w:rsid w:val="000A372D"/>
    <w:rsid w:val="000A4D7C"/>
    <w:rsid w:val="000A6251"/>
    <w:rsid w:val="000B16FF"/>
    <w:rsid w:val="000B2384"/>
    <w:rsid w:val="000B3B59"/>
    <w:rsid w:val="000B52E6"/>
    <w:rsid w:val="000B543A"/>
    <w:rsid w:val="000C0824"/>
    <w:rsid w:val="000C30F7"/>
    <w:rsid w:val="000D0C37"/>
    <w:rsid w:val="000D539E"/>
    <w:rsid w:val="000D7F02"/>
    <w:rsid w:val="000E0371"/>
    <w:rsid w:val="000F5A77"/>
    <w:rsid w:val="000F737F"/>
    <w:rsid w:val="000F7938"/>
    <w:rsid w:val="0010084F"/>
    <w:rsid w:val="001010F7"/>
    <w:rsid w:val="00102CB7"/>
    <w:rsid w:val="0010753B"/>
    <w:rsid w:val="001120C5"/>
    <w:rsid w:val="0012393A"/>
    <w:rsid w:val="001333B6"/>
    <w:rsid w:val="00134A12"/>
    <w:rsid w:val="0013553C"/>
    <w:rsid w:val="00136F8C"/>
    <w:rsid w:val="001434FE"/>
    <w:rsid w:val="00144572"/>
    <w:rsid w:val="00156AEF"/>
    <w:rsid w:val="001618D5"/>
    <w:rsid w:val="00163993"/>
    <w:rsid w:val="001713C5"/>
    <w:rsid w:val="00182F1D"/>
    <w:rsid w:val="00190B92"/>
    <w:rsid w:val="00191519"/>
    <w:rsid w:val="00194CEE"/>
    <w:rsid w:val="00195492"/>
    <w:rsid w:val="001961F9"/>
    <w:rsid w:val="001A0135"/>
    <w:rsid w:val="001A4616"/>
    <w:rsid w:val="001B0FF6"/>
    <w:rsid w:val="001B4F70"/>
    <w:rsid w:val="001C2040"/>
    <w:rsid w:val="001C359A"/>
    <w:rsid w:val="001D00C9"/>
    <w:rsid w:val="001D5074"/>
    <w:rsid w:val="001F29E6"/>
    <w:rsid w:val="001F35C3"/>
    <w:rsid w:val="001F4CD6"/>
    <w:rsid w:val="001F57F4"/>
    <w:rsid w:val="001F6F3C"/>
    <w:rsid w:val="001F74EA"/>
    <w:rsid w:val="001F7C93"/>
    <w:rsid w:val="00200EE0"/>
    <w:rsid w:val="002025E6"/>
    <w:rsid w:val="00203CFE"/>
    <w:rsid w:val="00205CFB"/>
    <w:rsid w:val="002120AC"/>
    <w:rsid w:val="0021316D"/>
    <w:rsid w:val="00214405"/>
    <w:rsid w:val="00215178"/>
    <w:rsid w:val="00217691"/>
    <w:rsid w:val="00224499"/>
    <w:rsid w:val="00226288"/>
    <w:rsid w:val="002271ED"/>
    <w:rsid w:val="002325B6"/>
    <w:rsid w:val="0023283B"/>
    <w:rsid w:val="00234790"/>
    <w:rsid w:val="00240283"/>
    <w:rsid w:val="00242CFD"/>
    <w:rsid w:val="00246CF0"/>
    <w:rsid w:val="00247692"/>
    <w:rsid w:val="00255EFF"/>
    <w:rsid w:val="00263EA3"/>
    <w:rsid w:val="0027002D"/>
    <w:rsid w:val="0027093A"/>
    <w:rsid w:val="00273118"/>
    <w:rsid w:val="00275F78"/>
    <w:rsid w:val="002821E2"/>
    <w:rsid w:val="00282A5E"/>
    <w:rsid w:val="0028389A"/>
    <w:rsid w:val="00286D97"/>
    <w:rsid w:val="0028792A"/>
    <w:rsid w:val="00290DE5"/>
    <w:rsid w:val="00291052"/>
    <w:rsid w:val="00293FAE"/>
    <w:rsid w:val="00296040"/>
    <w:rsid w:val="002A5FBA"/>
    <w:rsid w:val="002B165A"/>
    <w:rsid w:val="002C3552"/>
    <w:rsid w:val="002C48FE"/>
    <w:rsid w:val="002C5E16"/>
    <w:rsid w:val="002D4526"/>
    <w:rsid w:val="002E0EF6"/>
    <w:rsid w:val="002E58B1"/>
    <w:rsid w:val="002F043D"/>
    <w:rsid w:val="002F2119"/>
    <w:rsid w:val="002F42D3"/>
    <w:rsid w:val="002F6043"/>
    <w:rsid w:val="002F62E8"/>
    <w:rsid w:val="002F6FA4"/>
    <w:rsid w:val="003002B5"/>
    <w:rsid w:val="003011C3"/>
    <w:rsid w:val="0030415E"/>
    <w:rsid w:val="003055AC"/>
    <w:rsid w:val="00307880"/>
    <w:rsid w:val="00313389"/>
    <w:rsid w:val="003152BF"/>
    <w:rsid w:val="003157B4"/>
    <w:rsid w:val="00317DEF"/>
    <w:rsid w:val="003219CB"/>
    <w:rsid w:val="0032204E"/>
    <w:rsid w:val="0032259E"/>
    <w:rsid w:val="00326D5B"/>
    <w:rsid w:val="00331342"/>
    <w:rsid w:val="00333276"/>
    <w:rsid w:val="003358D7"/>
    <w:rsid w:val="00340E57"/>
    <w:rsid w:val="00342506"/>
    <w:rsid w:val="00343F5F"/>
    <w:rsid w:val="00344A46"/>
    <w:rsid w:val="003459DA"/>
    <w:rsid w:val="00351F4C"/>
    <w:rsid w:val="00354F92"/>
    <w:rsid w:val="00365826"/>
    <w:rsid w:val="00365E92"/>
    <w:rsid w:val="0036789A"/>
    <w:rsid w:val="00375326"/>
    <w:rsid w:val="003753C3"/>
    <w:rsid w:val="00375FE6"/>
    <w:rsid w:val="0037703C"/>
    <w:rsid w:val="00383314"/>
    <w:rsid w:val="0038365B"/>
    <w:rsid w:val="00386C93"/>
    <w:rsid w:val="003975CE"/>
    <w:rsid w:val="003A431A"/>
    <w:rsid w:val="003A4C02"/>
    <w:rsid w:val="003B108F"/>
    <w:rsid w:val="003B18DC"/>
    <w:rsid w:val="003B1FCD"/>
    <w:rsid w:val="003B2A08"/>
    <w:rsid w:val="003B3F3D"/>
    <w:rsid w:val="003B448F"/>
    <w:rsid w:val="003C3DFA"/>
    <w:rsid w:val="003C47BF"/>
    <w:rsid w:val="003D3F4B"/>
    <w:rsid w:val="003D7C66"/>
    <w:rsid w:val="003E381F"/>
    <w:rsid w:val="003E41B8"/>
    <w:rsid w:val="003F2CF4"/>
    <w:rsid w:val="003F6376"/>
    <w:rsid w:val="0040016D"/>
    <w:rsid w:val="00400690"/>
    <w:rsid w:val="0040747F"/>
    <w:rsid w:val="004101BE"/>
    <w:rsid w:val="00410A7C"/>
    <w:rsid w:val="00413C87"/>
    <w:rsid w:val="00416A76"/>
    <w:rsid w:val="00417737"/>
    <w:rsid w:val="00417F02"/>
    <w:rsid w:val="00420653"/>
    <w:rsid w:val="00426356"/>
    <w:rsid w:val="00426F12"/>
    <w:rsid w:val="00431726"/>
    <w:rsid w:val="00431ACD"/>
    <w:rsid w:val="00433159"/>
    <w:rsid w:val="004357F8"/>
    <w:rsid w:val="004358AB"/>
    <w:rsid w:val="00435B15"/>
    <w:rsid w:val="00436353"/>
    <w:rsid w:val="00441FE2"/>
    <w:rsid w:val="004443C2"/>
    <w:rsid w:val="00447790"/>
    <w:rsid w:val="0045117A"/>
    <w:rsid w:val="00452AB5"/>
    <w:rsid w:val="00456C6D"/>
    <w:rsid w:val="004570D0"/>
    <w:rsid w:val="004576A5"/>
    <w:rsid w:val="0047091C"/>
    <w:rsid w:val="004711F9"/>
    <w:rsid w:val="0047285E"/>
    <w:rsid w:val="00476544"/>
    <w:rsid w:val="004803CE"/>
    <w:rsid w:val="00482DBE"/>
    <w:rsid w:val="004832BE"/>
    <w:rsid w:val="00492DEB"/>
    <w:rsid w:val="00495F46"/>
    <w:rsid w:val="00497B75"/>
    <w:rsid w:val="004A01EF"/>
    <w:rsid w:val="004A420D"/>
    <w:rsid w:val="004B0C32"/>
    <w:rsid w:val="004B5AD8"/>
    <w:rsid w:val="004B618F"/>
    <w:rsid w:val="004C36B5"/>
    <w:rsid w:val="004C7794"/>
    <w:rsid w:val="004D2B15"/>
    <w:rsid w:val="004D2B1B"/>
    <w:rsid w:val="004D3EFB"/>
    <w:rsid w:val="004D50FF"/>
    <w:rsid w:val="004D57D8"/>
    <w:rsid w:val="004E40A6"/>
    <w:rsid w:val="004E778B"/>
    <w:rsid w:val="004F155E"/>
    <w:rsid w:val="004F18A7"/>
    <w:rsid w:val="004F5875"/>
    <w:rsid w:val="004F7378"/>
    <w:rsid w:val="00503E48"/>
    <w:rsid w:val="00510189"/>
    <w:rsid w:val="00514622"/>
    <w:rsid w:val="005219AD"/>
    <w:rsid w:val="00521FC4"/>
    <w:rsid w:val="005238F9"/>
    <w:rsid w:val="005262CC"/>
    <w:rsid w:val="00526874"/>
    <w:rsid w:val="00533253"/>
    <w:rsid w:val="005335FD"/>
    <w:rsid w:val="005336CE"/>
    <w:rsid w:val="00536AD2"/>
    <w:rsid w:val="00540C77"/>
    <w:rsid w:val="00542F95"/>
    <w:rsid w:val="00544386"/>
    <w:rsid w:val="0055074D"/>
    <w:rsid w:val="00552C7D"/>
    <w:rsid w:val="00553C6E"/>
    <w:rsid w:val="00557F80"/>
    <w:rsid w:val="00560445"/>
    <w:rsid w:val="0056335E"/>
    <w:rsid w:val="00564E02"/>
    <w:rsid w:val="00566246"/>
    <w:rsid w:val="00567A28"/>
    <w:rsid w:val="00572114"/>
    <w:rsid w:val="005724E0"/>
    <w:rsid w:val="005757F8"/>
    <w:rsid w:val="00576659"/>
    <w:rsid w:val="0058123A"/>
    <w:rsid w:val="00582EE9"/>
    <w:rsid w:val="0058723C"/>
    <w:rsid w:val="00587D02"/>
    <w:rsid w:val="00593BF0"/>
    <w:rsid w:val="005A2167"/>
    <w:rsid w:val="005A2255"/>
    <w:rsid w:val="005A324E"/>
    <w:rsid w:val="005B0633"/>
    <w:rsid w:val="005B0918"/>
    <w:rsid w:val="005B1A0B"/>
    <w:rsid w:val="005B4712"/>
    <w:rsid w:val="005B5A93"/>
    <w:rsid w:val="005B641C"/>
    <w:rsid w:val="005C104F"/>
    <w:rsid w:val="005C78EF"/>
    <w:rsid w:val="005C799D"/>
    <w:rsid w:val="005D06CF"/>
    <w:rsid w:val="005E1093"/>
    <w:rsid w:val="005E4673"/>
    <w:rsid w:val="005E55E4"/>
    <w:rsid w:val="005F24A5"/>
    <w:rsid w:val="005F4057"/>
    <w:rsid w:val="005F718B"/>
    <w:rsid w:val="0060390E"/>
    <w:rsid w:val="006040A2"/>
    <w:rsid w:val="00610721"/>
    <w:rsid w:val="006124D2"/>
    <w:rsid w:val="00612EFD"/>
    <w:rsid w:val="00624FDC"/>
    <w:rsid w:val="00625C6E"/>
    <w:rsid w:val="00626347"/>
    <w:rsid w:val="00631D13"/>
    <w:rsid w:val="006406FC"/>
    <w:rsid w:val="00641FCF"/>
    <w:rsid w:val="006437C2"/>
    <w:rsid w:val="00652643"/>
    <w:rsid w:val="006551B6"/>
    <w:rsid w:val="00656FBB"/>
    <w:rsid w:val="006635AB"/>
    <w:rsid w:val="006666D0"/>
    <w:rsid w:val="00670E6D"/>
    <w:rsid w:val="00671D38"/>
    <w:rsid w:val="006736F1"/>
    <w:rsid w:val="00673A59"/>
    <w:rsid w:val="0067446E"/>
    <w:rsid w:val="00674675"/>
    <w:rsid w:val="00675291"/>
    <w:rsid w:val="00677F07"/>
    <w:rsid w:val="00680EEB"/>
    <w:rsid w:val="00681B61"/>
    <w:rsid w:val="00681C2B"/>
    <w:rsid w:val="00681F3B"/>
    <w:rsid w:val="00693E2B"/>
    <w:rsid w:val="00695A46"/>
    <w:rsid w:val="00697AEA"/>
    <w:rsid w:val="006C719D"/>
    <w:rsid w:val="006D6A15"/>
    <w:rsid w:val="006E13F5"/>
    <w:rsid w:val="006E18B2"/>
    <w:rsid w:val="006E3460"/>
    <w:rsid w:val="006F1B6E"/>
    <w:rsid w:val="006F202E"/>
    <w:rsid w:val="006F51A6"/>
    <w:rsid w:val="006F5401"/>
    <w:rsid w:val="00705490"/>
    <w:rsid w:val="007117E8"/>
    <w:rsid w:val="00714BE0"/>
    <w:rsid w:val="00715B3D"/>
    <w:rsid w:val="007160C8"/>
    <w:rsid w:val="0072135F"/>
    <w:rsid w:val="007218E7"/>
    <w:rsid w:val="00722628"/>
    <w:rsid w:val="00722C51"/>
    <w:rsid w:val="0072646B"/>
    <w:rsid w:val="007266D3"/>
    <w:rsid w:val="00732773"/>
    <w:rsid w:val="00733139"/>
    <w:rsid w:val="00737C46"/>
    <w:rsid w:val="007540B3"/>
    <w:rsid w:val="0075617E"/>
    <w:rsid w:val="00756739"/>
    <w:rsid w:val="007612BE"/>
    <w:rsid w:val="00761CCB"/>
    <w:rsid w:val="00765957"/>
    <w:rsid w:val="00767704"/>
    <w:rsid w:val="00770EF9"/>
    <w:rsid w:val="00772156"/>
    <w:rsid w:val="00774628"/>
    <w:rsid w:val="007767E0"/>
    <w:rsid w:val="007830AE"/>
    <w:rsid w:val="00784B4D"/>
    <w:rsid w:val="00785762"/>
    <w:rsid w:val="007864C8"/>
    <w:rsid w:val="007870B9"/>
    <w:rsid w:val="0079085C"/>
    <w:rsid w:val="00790F0F"/>
    <w:rsid w:val="007A020D"/>
    <w:rsid w:val="007A6BD4"/>
    <w:rsid w:val="007C1C58"/>
    <w:rsid w:val="007C3850"/>
    <w:rsid w:val="007C3C5E"/>
    <w:rsid w:val="007D145D"/>
    <w:rsid w:val="007E0F92"/>
    <w:rsid w:val="007E140A"/>
    <w:rsid w:val="007E5CE4"/>
    <w:rsid w:val="007E744A"/>
    <w:rsid w:val="007F07B0"/>
    <w:rsid w:val="007F0D36"/>
    <w:rsid w:val="007F5DC8"/>
    <w:rsid w:val="007F666E"/>
    <w:rsid w:val="0080158C"/>
    <w:rsid w:val="00803E89"/>
    <w:rsid w:val="00812B97"/>
    <w:rsid w:val="00813AB0"/>
    <w:rsid w:val="00821215"/>
    <w:rsid w:val="0082340E"/>
    <w:rsid w:val="00826FF4"/>
    <w:rsid w:val="00834815"/>
    <w:rsid w:val="00835E77"/>
    <w:rsid w:val="00840403"/>
    <w:rsid w:val="00842249"/>
    <w:rsid w:val="0084239C"/>
    <w:rsid w:val="00852005"/>
    <w:rsid w:val="00853E3A"/>
    <w:rsid w:val="00855D67"/>
    <w:rsid w:val="00861ACC"/>
    <w:rsid w:val="0086227A"/>
    <w:rsid w:val="00862A5B"/>
    <w:rsid w:val="00866A57"/>
    <w:rsid w:val="00871BA6"/>
    <w:rsid w:val="00872051"/>
    <w:rsid w:val="00876569"/>
    <w:rsid w:val="00877A83"/>
    <w:rsid w:val="00880DC2"/>
    <w:rsid w:val="00886CC5"/>
    <w:rsid w:val="00890F6D"/>
    <w:rsid w:val="00892334"/>
    <w:rsid w:val="0089636A"/>
    <w:rsid w:val="008963E5"/>
    <w:rsid w:val="008A1EA6"/>
    <w:rsid w:val="008A3666"/>
    <w:rsid w:val="008A3772"/>
    <w:rsid w:val="008B286B"/>
    <w:rsid w:val="008B28CE"/>
    <w:rsid w:val="008B3CB3"/>
    <w:rsid w:val="008C082C"/>
    <w:rsid w:val="008C5776"/>
    <w:rsid w:val="008C5E9C"/>
    <w:rsid w:val="008D4F96"/>
    <w:rsid w:val="008D5897"/>
    <w:rsid w:val="008D69C8"/>
    <w:rsid w:val="008D7001"/>
    <w:rsid w:val="008E30F8"/>
    <w:rsid w:val="008E5BF4"/>
    <w:rsid w:val="008F1A52"/>
    <w:rsid w:val="008F227F"/>
    <w:rsid w:val="008F3D10"/>
    <w:rsid w:val="008F429E"/>
    <w:rsid w:val="0090316A"/>
    <w:rsid w:val="0090440E"/>
    <w:rsid w:val="00907990"/>
    <w:rsid w:val="009106B0"/>
    <w:rsid w:val="00910DAD"/>
    <w:rsid w:val="009113A3"/>
    <w:rsid w:val="00914776"/>
    <w:rsid w:val="00915C3C"/>
    <w:rsid w:val="00916094"/>
    <w:rsid w:val="00930141"/>
    <w:rsid w:val="00930CE8"/>
    <w:rsid w:val="00937062"/>
    <w:rsid w:val="0094032D"/>
    <w:rsid w:val="009407F0"/>
    <w:rsid w:val="00944409"/>
    <w:rsid w:val="0095089B"/>
    <w:rsid w:val="009534A1"/>
    <w:rsid w:val="00964426"/>
    <w:rsid w:val="00970D5D"/>
    <w:rsid w:val="00973562"/>
    <w:rsid w:val="00975BA7"/>
    <w:rsid w:val="009812B3"/>
    <w:rsid w:val="00984D6A"/>
    <w:rsid w:val="00986C0D"/>
    <w:rsid w:val="00992946"/>
    <w:rsid w:val="00993AFC"/>
    <w:rsid w:val="00996C49"/>
    <w:rsid w:val="009A2CEB"/>
    <w:rsid w:val="009A3B95"/>
    <w:rsid w:val="009A458A"/>
    <w:rsid w:val="009A54EE"/>
    <w:rsid w:val="009A6210"/>
    <w:rsid w:val="009B1567"/>
    <w:rsid w:val="009B353D"/>
    <w:rsid w:val="009C3F94"/>
    <w:rsid w:val="009C400F"/>
    <w:rsid w:val="009C4DFB"/>
    <w:rsid w:val="009C5A8A"/>
    <w:rsid w:val="009C610A"/>
    <w:rsid w:val="009D2954"/>
    <w:rsid w:val="009D3B76"/>
    <w:rsid w:val="009E008A"/>
    <w:rsid w:val="009E0814"/>
    <w:rsid w:val="009E1870"/>
    <w:rsid w:val="009E27E2"/>
    <w:rsid w:val="009E282B"/>
    <w:rsid w:val="009E34FE"/>
    <w:rsid w:val="00A00C83"/>
    <w:rsid w:val="00A02383"/>
    <w:rsid w:val="00A02439"/>
    <w:rsid w:val="00A03051"/>
    <w:rsid w:val="00A04221"/>
    <w:rsid w:val="00A20D5A"/>
    <w:rsid w:val="00A236FC"/>
    <w:rsid w:val="00A25514"/>
    <w:rsid w:val="00A26BCF"/>
    <w:rsid w:val="00A26F85"/>
    <w:rsid w:val="00A36538"/>
    <w:rsid w:val="00A41E32"/>
    <w:rsid w:val="00A4208B"/>
    <w:rsid w:val="00A45579"/>
    <w:rsid w:val="00A47131"/>
    <w:rsid w:val="00A47308"/>
    <w:rsid w:val="00A47EA2"/>
    <w:rsid w:val="00A5491E"/>
    <w:rsid w:val="00A622F8"/>
    <w:rsid w:val="00A65366"/>
    <w:rsid w:val="00A656D7"/>
    <w:rsid w:val="00A66519"/>
    <w:rsid w:val="00A76976"/>
    <w:rsid w:val="00A81ACF"/>
    <w:rsid w:val="00A8263D"/>
    <w:rsid w:val="00A835ED"/>
    <w:rsid w:val="00A90CFD"/>
    <w:rsid w:val="00A92519"/>
    <w:rsid w:val="00AA1DDD"/>
    <w:rsid w:val="00AA2F30"/>
    <w:rsid w:val="00AA5A47"/>
    <w:rsid w:val="00AB56BE"/>
    <w:rsid w:val="00AB64B7"/>
    <w:rsid w:val="00AC341A"/>
    <w:rsid w:val="00AC5DB2"/>
    <w:rsid w:val="00AC6306"/>
    <w:rsid w:val="00AD2B7E"/>
    <w:rsid w:val="00AD3489"/>
    <w:rsid w:val="00AD6300"/>
    <w:rsid w:val="00AE1691"/>
    <w:rsid w:val="00AE3796"/>
    <w:rsid w:val="00AE3CB9"/>
    <w:rsid w:val="00AE4C15"/>
    <w:rsid w:val="00AE7BAB"/>
    <w:rsid w:val="00AF35D4"/>
    <w:rsid w:val="00AF4058"/>
    <w:rsid w:val="00AF6180"/>
    <w:rsid w:val="00B00DE4"/>
    <w:rsid w:val="00B04902"/>
    <w:rsid w:val="00B04E40"/>
    <w:rsid w:val="00B04E8A"/>
    <w:rsid w:val="00B06644"/>
    <w:rsid w:val="00B125F3"/>
    <w:rsid w:val="00B2583B"/>
    <w:rsid w:val="00B27530"/>
    <w:rsid w:val="00B34A7B"/>
    <w:rsid w:val="00B3507E"/>
    <w:rsid w:val="00B3746E"/>
    <w:rsid w:val="00B42FA9"/>
    <w:rsid w:val="00B45303"/>
    <w:rsid w:val="00B478D5"/>
    <w:rsid w:val="00B51104"/>
    <w:rsid w:val="00B52B2B"/>
    <w:rsid w:val="00B53197"/>
    <w:rsid w:val="00B53E52"/>
    <w:rsid w:val="00B57FE0"/>
    <w:rsid w:val="00B61A5B"/>
    <w:rsid w:val="00B6278E"/>
    <w:rsid w:val="00B72F6F"/>
    <w:rsid w:val="00B778ED"/>
    <w:rsid w:val="00B86345"/>
    <w:rsid w:val="00B8661E"/>
    <w:rsid w:val="00B87C75"/>
    <w:rsid w:val="00B9087E"/>
    <w:rsid w:val="00B908A9"/>
    <w:rsid w:val="00B94F9A"/>
    <w:rsid w:val="00B95616"/>
    <w:rsid w:val="00BA10DF"/>
    <w:rsid w:val="00BA1272"/>
    <w:rsid w:val="00BA185C"/>
    <w:rsid w:val="00BA73EA"/>
    <w:rsid w:val="00BB3750"/>
    <w:rsid w:val="00BB70AE"/>
    <w:rsid w:val="00BC13F1"/>
    <w:rsid w:val="00BC277B"/>
    <w:rsid w:val="00BD319A"/>
    <w:rsid w:val="00BE1438"/>
    <w:rsid w:val="00BE3C41"/>
    <w:rsid w:val="00BE42B4"/>
    <w:rsid w:val="00BE43FB"/>
    <w:rsid w:val="00BE604A"/>
    <w:rsid w:val="00BF7E3F"/>
    <w:rsid w:val="00C06DB3"/>
    <w:rsid w:val="00C132BD"/>
    <w:rsid w:val="00C1414C"/>
    <w:rsid w:val="00C16AFC"/>
    <w:rsid w:val="00C23179"/>
    <w:rsid w:val="00C23508"/>
    <w:rsid w:val="00C24EAB"/>
    <w:rsid w:val="00C31123"/>
    <w:rsid w:val="00C311F0"/>
    <w:rsid w:val="00C34C9D"/>
    <w:rsid w:val="00C360ED"/>
    <w:rsid w:val="00C36321"/>
    <w:rsid w:val="00C36E11"/>
    <w:rsid w:val="00C401EC"/>
    <w:rsid w:val="00C50350"/>
    <w:rsid w:val="00C52D0C"/>
    <w:rsid w:val="00C5322C"/>
    <w:rsid w:val="00C63002"/>
    <w:rsid w:val="00C65D8B"/>
    <w:rsid w:val="00C72451"/>
    <w:rsid w:val="00C815EB"/>
    <w:rsid w:val="00C8586B"/>
    <w:rsid w:val="00C87391"/>
    <w:rsid w:val="00C87E27"/>
    <w:rsid w:val="00C942CD"/>
    <w:rsid w:val="00CA3C0E"/>
    <w:rsid w:val="00CA5586"/>
    <w:rsid w:val="00CA7412"/>
    <w:rsid w:val="00CA77DD"/>
    <w:rsid w:val="00CB38DB"/>
    <w:rsid w:val="00CB62EA"/>
    <w:rsid w:val="00CC3095"/>
    <w:rsid w:val="00CC4CA8"/>
    <w:rsid w:val="00CD12F5"/>
    <w:rsid w:val="00CD7718"/>
    <w:rsid w:val="00CE7A05"/>
    <w:rsid w:val="00CF02AF"/>
    <w:rsid w:val="00CF1F1C"/>
    <w:rsid w:val="00CF4B9F"/>
    <w:rsid w:val="00D02067"/>
    <w:rsid w:val="00D03E8D"/>
    <w:rsid w:val="00D05172"/>
    <w:rsid w:val="00D07BC3"/>
    <w:rsid w:val="00D11F53"/>
    <w:rsid w:val="00D1236C"/>
    <w:rsid w:val="00D17292"/>
    <w:rsid w:val="00D21261"/>
    <w:rsid w:val="00D2549C"/>
    <w:rsid w:val="00D27FE3"/>
    <w:rsid w:val="00D30B7F"/>
    <w:rsid w:val="00D31C6B"/>
    <w:rsid w:val="00D3691A"/>
    <w:rsid w:val="00D37697"/>
    <w:rsid w:val="00D41B44"/>
    <w:rsid w:val="00D455D2"/>
    <w:rsid w:val="00D459CC"/>
    <w:rsid w:val="00D503EA"/>
    <w:rsid w:val="00D521C2"/>
    <w:rsid w:val="00D52E91"/>
    <w:rsid w:val="00D55202"/>
    <w:rsid w:val="00D5651B"/>
    <w:rsid w:val="00D62F71"/>
    <w:rsid w:val="00D63234"/>
    <w:rsid w:val="00D66F81"/>
    <w:rsid w:val="00D72EE0"/>
    <w:rsid w:val="00D746A4"/>
    <w:rsid w:val="00D74936"/>
    <w:rsid w:val="00D76F1D"/>
    <w:rsid w:val="00D804CC"/>
    <w:rsid w:val="00D84B0D"/>
    <w:rsid w:val="00D85D59"/>
    <w:rsid w:val="00D87F73"/>
    <w:rsid w:val="00D93B90"/>
    <w:rsid w:val="00D94D4B"/>
    <w:rsid w:val="00D965E7"/>
    <w:rsid w:val="00DA40B2"/>
    <w:rsid w:val="00DA57E7"/>
    <w:rsid w:val="00DA588C"/>
    <w:rsid w:val="00DA6D14"/>
    <w:rsid w:val="00DB11A2"/>
    <w:rsid w:val="00DB4886"/>
    <w:rsid w:val="00DC1D89"/>
    <w:rsid w:val="00DC3C74"/>
    <w:rsid w:val="00DC5957"/>
    <w:rsid w:val="00DC75B9"/>
    <w:rsid w:val="00DD0ADF"/>
    <w:rsid w:val="00DD1922"/>
    <w:rsid w:val="00DD457E"/>
    <w:rsid w:val="00DD49DF"/>
    <w:rsid w:val="00DD6077"/>
    <w:rsid w:val="00DD6701"/>
    <w:rsid w:val="00DE2662"/>
    <w:rsid w:val="00DE4CF7"/>
    <w:rsid w:val="00DE71DC"/>
    <w:rsid w:val="00DF2084"/>
    <w:rsid w:val="00DF23A1"/>
    <w:rsid w:val="00DF39F7"/>
    <w:rsid w:val="00DF62C0"/>
    <w:rsid w:val="00DF6D98"/>
    <w:rsid w:val="00E01B89"/>
    <w:rsid w:val="00E0218D"/>
    <w:rsid w:val="00E1004A"/>
    <w:rsid w:val="00E16335"/>
    <w:rsid w:val="00E308F4"/>
    <w:rsid w:val="00E30DC8"/>
    <w:rsid w:val="00E316AF"/>
    <w:rsid w:val="00E33A22"/>
    <w:rsid w:val="00E41114"/>
    <w:rsid w:val="00E41968"/>
    <w:rsid w:val="00E44DC0"/>
    <w:rsid w:val="00E47486"/>
    <w:rsid w:val="00E550FC"/>
    <w:rsid w:val="00E55335"/>
    <w:rsid w:val="00E55D8B"/>
    <w:rsid w:val="00E5681A"/>
    <w:rsid w:val="00E56FB7"/>
    <w:rsid w:val="00E6046B"/>
    <w:rsid w:val="00E6260F"/>
    <w:rsid w:val="00E62E97"/>
    <w:rsid w:val="00E64543"/>
    <w:rsid w:val="00E66DA0"/>
    <w:rsid w:val="00E86C0E"/>
    <w:rsid w:val="00E90562"/>
    <w:rsid w:val="00E9137E"/>
    <w:rsid w:val="00E9381F"/>
    <w:rsid w:val="00E95127"/>
    <w:rsid w:val="00EA274B"/>
    <w:rsid w:val="00EA79AF"/>
    <w:rsid w:val="00EA7CDE"/>
    <w:rsid w:val="00EB0362"/>
    <w:rsid w:val="00EB32EB"/>
    <w:rsid w:val="00EC02C5"/>
    <w:rsid w:val="00EC452B"/>
    <w:rsid w:val="00EC71A3"/>
    <w:rsid w:val="00ED6F3F"/>
    <w:rsid w:val="00ED702F"/>
    <w:rsid w:val="00EE1061"/>
    <w:rsid w:val="00EE797B"/>
    <w:rsid w:val="00EF051C"/>
    <w:rsid w:val="00F0075E"/>
    <w:rsid w:val="00F04726"/>
    <w:rsid w:val="00F06AB9"/>
    <w:rsid w:val="00F133CF"/>
    <w:rsid w:val="00F14B01"/>
    <w:rsid w:val="00F2530B"/>
    <w:rsid w:val="00F31C17"/>
    <w:rsid w:val="00F32FFB"/>
    <w:rsid w:val="00F33C87"/>
    <w:rsid w:val="00F344C7"/>
    <w:rsid w:val="00F41119"/>
    <w:rsid w:val="00F4188B"/>
    <w:rsid w:val="00F41ED4"/>
    <w:rsid w:val="00F43A14"/>
    <w:rsid w:val="00F44896"/>
    <w:rsid w:val="00F52FA7"/>
    <w:rsid w:val="00F534B9"/>
    <w:rsid w:val="00F567EC"/>
    <w:rsid w:val="00F601D1"/>
    <w:rsid w:val="00F622A7"/>
    <w:rsid w:val="00F63306"/>
    <w:rsid w:val="00F64E85"/>
    <w:rsid w:val="00F6557B"/>
    <w:rsid w:val="00F70AB8"/>
    <w:rsid w:val="00F7126C"/>
    <w:rsid w:val="00F738DC"/>
    <w:rsid w:val="00F7536C"/>
    <w:rsid w:val="00F76586"/>
    <w:rsid w:val="00F77D1F"/>
    <w:rsid w:val="00F91D75"/>
    <w:rsid w:val="00FA21A7"/>
    <w:rsid w:val="00FA4291"/>
    <w:rsid w:val="00FA4ADF"/>
    <w:rsid w:val="00FB21B4"/>
    <w:rsid w:val="00FC404B"/>
    <w:rsid w:val="00FC47CF"/>
    <w:rsid w:val="00FC527C"/>
    <w:rsid w:val="00FC5436"/>
    <w:rsid w:val="00FC5FDF"/>
    <w:rsid w:val="00FD54A3"/>
    <w:rsid w:val="00FD597E"/>
    <w:rsid w:val="00FD6341"/>
    <w:rsid w:val="00FE344B"/>
    <w:rsid w:val="00FE58A1"/>
    <w:rsid w:val="00FE6560"/>
    <w:rsid w:val="00FE7ED2"/>
    <w:rsid w:val="00FF076A"/>
    <w:rsid w:val="00FF0BDE"/>
    <w:rsid w:val="00FF1A17"/>
    <w:rsid w:val="00FF49AD"/>
    <w:rsid w:val="08B4B71E"/>
    <w:rsid w:val="249DB127"/>
    <w:rsid w:val="438E8491"/>
    <w:rsid w:val="47626E9A"/>
    <w:rsid w:val="524E733E"/>
    <w:rsid w:val="73755E9A"/>
    <w:rsid w:val="747E0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4978C"/>
  <w15:chartTrackingRefBased/>
  <w15:docId w15:val="{A72AEF27-246B-4413-B481-F0682487F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33253"/>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533253"/>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533253"/>
    <w:rPr>
      <w:vertAlign w:val="superscript"/>
    </w:rPr>
  </w:style>
  <w:style w:type="paragraph" w:styleId="ListParagraph">
    <w:name w:val="List Paragraph"/>
    <w:basedOn w:val="Normal"/>
    <w:uiPriority w:val="34"/>
    <w:qFormat/>
    <w:rsid w:val="00A20D5A"/>
    <w:pPr>
      <w:ind w:left="720"/>
      <w:contextualSpacing/>
    </w:pPr>
  </w:style>
  <w:style w:type="paragraph" w:styleId="Header">
    <w:name w:val="header"/>
    <w:basedOn w:val="Normal"/>
    <w:link w:val="HeaderChar"/>
    <w:uiPriority w:val="99"/>
    <w:unhideWhenUsed/>
    <w:rsid w:val="00497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B75"/>
  </w:style>
  <w:style w:type="paragraph" w:styleId="Footer">
    <w:name w:val="footer"/>
    <w:basedOn w:val="Normal"/>
    <w:link w:val="FooterChar"/>
    <w:uiPriority w:val="99"/>
    <w:unhideWhenUsed/>
    <w:rsid w:val="00497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B75"/>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styleId="PlainTable5">
    <w:name w:val="Plain Table 5"/>
    <w:basedOn w:val="TableNormal"/>
    <w:uiPriority w:val="45"/>
    <w:rsid w:val="0028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28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28389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28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60232">
      <w:bodyDiv w:val="1"/>
      <w:marLeft w:val="0"/>
      <w:marRight w:val="0"/>
      <w:marTop w:val="0"/>
      <w:marBottom w:val="0"/>
      <w:divBdr>
        <w:top w:val="none" w:sz="0" w:space="0" w:color="auto"/>
        <w:left w:val="none" w:sz="0" w:space="0" w:color="auto"/>
        <w:bottom w:val="none" w:sz="0" w:space="0" w:color="auto"/>
        <w:right w:val="none" w:sz="0" w:space="0" w:color="auto"/>
      </w:divBdr>
    </w:div>
    <w:div w:id="242689299">
      <w:bodyDiv w:val="1"/>
      <w:marLeft w:val="0"/>
      <w:marRight w:val="0"/>
      <w:marTop w:val="0"/>
      <w:marBottom w:val="0"/>
      <w:divBdr>
        <w:top w:val="none" w:sz="0" w:space="0" w:color="auto"/>
        <w:left w:val="none" w:sz="0" w:space="0" w:color="auto"/>
        <w:bottom w:val="none" w:sz="0" w:space="0" w:color="auto"/>
        <w:right w:val="none" w:sz="0" w:space="0" w:color="auto"/>
      </w:divBdr>
    </w:div>
    <w:div w:id="304631603">
      <w:bodyDiv w:val="1"/>
      <w:marLeft w:val="0"/>
      <w:marRight w:val="0"/>
      <w:marTop w:val="0"/>
      <w:marBottom w:val="0"/>
      <w:divBdr>
        <w:top w:val="none" w:sz="0" w:space="0" w:color="auto"/>
        <w:left w:val="none" w:sz="0" w:space="0" w:color="auto"/>
        <w:bottom w:val="none" w:sz="0" w:space="0" w:color="auto"/>
        <w:right w:val="none" w:sz="0" w:space="0" w:color="auto"/>
      </w:divBdr>
    </w:div>
    <w:div w:id="779419812">
      <w:bodyDiv w:val="1"/>
      <w:marLeft w:val="0"/>
      <w:marRight w:val="0"/>
      <w:marTop w:val="0"/>
      <w:marBottom w:val="0"/>
      <w:divBdr>
        <w:top w:val="none" w:sz="0" w:space="0" w:color="auto"/>
        <w:left w:val="none" w:sz="0" w:space="0" w:color="auto"/>
        <w:bottom w:val="none" w:sz="0" w:space="0" w:color="auto"/>
        <w:right w:val="none" w:sz="0" w:space="0" w:color="auto"/>
      </w:divBdr>
    </w:div>
    <w:div w:id="845437528">
      <w:bodyDiv w:val="1"/>
      <w:marLeft w:val="0"/>
      <w:marRight w:val="0"/>
      <w:marTop w:val="0"/>
      <w:marBottom w:val="0"/>
      <w:divBdr>
        <w:top w:val="none" w:sz="0" w:space="0" w:color="auto"/>
        <w:left w:val="none" w:sz="0" w:space="0" w:color="auto"/>
        <w:bottom w:val="none" w:sz="0" w:space="0" w:color="auto"/>
        <w:right w:val="none" w:sz="0" w:space="0" w:color="auto"/>
      </w:divBdr>
    </w:div>
    <w:div w:id="885337410">
      <w:bodyDiv w:val="1"/>
      <w:marLeft w:val="0"/>
      <w:marRight w:val="0"/>
      <w:marTop w:val="0"/>
      <w:marBottom w:val="0"/>
      <w:divBdr>
        <w:top w:val="none" w:sz="0" w:space="0" w:color="auto"/>
        <w:left w:val="none" w:sz="0" w:space="0" w:color="auto"/>
        <w:bottom w:val="none" w:sz="0" w:space="0" w:color="auto"/>
        <w:right w:val="none" w:sz="0" w:space="0" w:color="auto"/>
      </w:divBdr>
    </w:div>
    <w:div w:id="1039554186">
      <w:bodyDiv w:val="1"/>
      <w:marLeft w:val="0"/>
      <w:marRight w:val="0"/>
      <w:marTop w:val="0"/>
      <w:marBottom w:val="0"/>
      <w:divBdr>
        <w:top w:val="none" w:sz="0" w:space="0" w:color="auto"/>
        <w:left w:val="none" w:sz="0" w:space="0" w:color="auto"/>
        <w:bottom w:val="none" w:sz="0" w:space="0" w:color="auto"/>
        <w:right w:val="none" w:sz="0" w:space="0" w:color="auto"/>
      </w:divBdr>
    </w:div>
    <w:div w:id="1263218283">
      <w:bodyDiv w:val="1"/>
      <w:marLeft w:val="0"/>
      <w:marRight w:val="0"/>
      <w:marTop w:val="0"/>
      <w:marBottom w:val="0"/>
      <w:divBdr>
        <w:top w:val="none" w:sz="0" w:space="0" w:color="auto"/>
        <w:left w:val="none" w:sz="0" w:space="0" w:color="auto"/>
        <w:bottom w:val="none" w:sz="0" w:space="0" w:color="auto"/>
        <w:right w:val="none" w:sz="0" w:space="0" w:color="auto"/>
      </w:divBdr>
    </w:div>
    <w:div w:id="1466699600">
      <w:bodyDiv w:val="1"/>
      <w:marLeft w:val="0"/>
      <w:marRight w:val="0"/>
      <w:marTop w:val="0"/>
      <w:marBottom w:val="0"/>
      <w:divBdr>
        <w:top w:val="none" w:sz="0" w:space="0" w:color="auto"/>
        <w:left w:val="none" w:sz="0" w:space="0" w:color="auto"/>
        <w:bottom w:val="none" w:sz="0" w:space="0" w:color="auto"/>
        <w:right w:val="none" w:sz="0" w:space="0" w:color="auto"/>
      </w:divBdr>
    </w:div>
    <w:div w:id="1533302888">
      <w:bodyDiv w:val="1"/>
      <w:marLeft w:val="0"/>
      <w:marRight w:val="0"/>
      <w:marTop w:val="0"/>
      <w:marBottom w:val="0"/>
      <w:divBdr>
        <w:top w:val="none" w:sz="0" w:space="0" w:color="auto"/>
        <w:left w:val="none" w:sz="0" w:space="0" w:color="auto"/>
        <w:bottom w:val="none" w:sz="0" w:space="0" w:color="auto"/>
        <w:right w:val="none" w:sz="0" w:space="0" w:color="auto"/>
      </w:divBdr>
    </w:div>
    <w:div w:id="1591815780">
      <w:bodyDiv w:val="1"/>
      <w:marLeft w:val="0"/>
      <w:marRight w:val="0"/>
      <w:marTop w:val="0"/>
      <w:marBottom w:val="0"/>
      <w:divBdr>
        <w:top w:val="none" w:sz="0" w:space="0" w:color="auto"/>
        <w:left w:val="none" w:sz="0" w:space="0" w:color="auto"/>
        <w:bottom w:val="none" w:sz="0" w:space="0" w:color="auto"/>
        <w:right w:val="none" w:sz="0" w:space="0" w:color="auto"/>
      </w:divBdr>
    </w:div>
    <w:div w:id="1642424032">
      <w:bodyDiv w:val="1"/>
      <w:marLeft w:val="0"/>
      <w:marRight w:val="0"/>
      <w:marTop w:val="0"/>
      <w:marBottom w:val="0"/>
      <w:divBdr>
        <w:top w:val="none" w:sz="0" w:space="0" w:color="auto"/>
        <w:left w:val="none" w:sz="0" w:space="0" w:color="auto"/>
        <w:bottom w:val="none" w:sz="0" w:space="0" w:color="auto"/>
        <w:right w:val="none" w:sz="0" w:space="0" w:color="auto"/>
      </w:divBdr>
    </w:div>
    <w:div w:id="1704941017">
      <w:bodyDiv w:val="1"/>
      <w:marLeft w:val="0"/>
      <w:marRight w:val="0"/>
      <w:marTop w:val="0"/>
      <w:marBottom w:val="0"/>
      <w:divBdr>
        <w:top w:val="none" w:sz="0" w:space="0" w:color="auto"/>
        <w:left w:val="none" w:sz="0" w:space="0" w:color="auto"/>
        <w:bottom w:val="none" w:sz="0" w:space="0" w:color="auto"/>
        <w:right w:val="none" w:sz="0" w:space="0" w:color="auto"/>
      </w:divBdr>
    </w:div>
    <w:div w:id="1872523405">
      <w:bodyDiv w:val="1"/>
      <w:marLeft w:val="0"/>
      <w:marRight w:val="0"/>
      <w:marTop w:val="0"/>
      <w:marBottom w:val="0"/>
      <w:divBdr>
        <w:top w:val="none" w:sz="0" w:space="0" w:color="auto"/>
        <w:left w:val="none" w:sz="0" w:space="0" w:color="auto"/>
        <w:bottom w:val="none" w:sz="0" w:space="0" w:color="auto"/>
        <w:right w:val="none" w:sz="0" w:space="0" w:color="auto"/>
      </w:divBdr>
    </w:div>
    <w:div w:id="209049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9563A-8D6B-4E67-B05F-BA739A672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Taylor</dc:creator>
  <cp:keywords/>
  <dc:description/>
  <cp:lastModifiedBy>Jon Taylor</cp:lastModifiedBy>
  <cp:revision>48</cp:revision>
  <dcterms:created xsi:type="dcterms:W3CDTF">2020-04-09T14:33:00Z</dcterms:created>
  <dcterms:modified xsi:type="dcterms:W3CDTF">2020-06-15T14:09:00Z</dcterms:modified>
</cp:coreProperties>
</file>