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47EFCD92" w:rsidR="00226288" w:rsidRPr="00226288" w:rsidRDefault="00226288" w:rsidP="00F35558">
      <w:pPr>
        <w:spacing w:line="480" w:lineRule="auto"/>
        <w:contextualSpacing/>
      </w:pPr>
      <w:r w:rsidRPr="00226288">
        <w:t xml:space="preserve">An </w:t>
      </w:r>
      <w:r w:rsidR="00081AC4">
        <w:t>Image</w:t>
      </w:r>
      <w:r w:rsidRPr="00226288">
        <w:t xml:space="preserve"> of the Future – </w:t>
      </w:r>
      <w:r w:rsidR="004F155E">
        <w:t>Entity 6</w:t>
      </w:r>
      <w:r w:rsidRPr="00226288">
        <w:t xml:space="preserve"> and Regional Service District </w:t>
      </w:r>
      <w:r w:rsidR="00081AC4">
        <w:t>1</w:t>
      </w:r>
    </w:p>
    <w:p w14:paraId="70CB123F" w14:textId="6EF12748" w:rsidR="00226288" w:rsidRPr="00226288" w:rsidRDefault="00226288" w:rsidP="00E719AD">
      <w:pPr>
        <w:jc w:val="both"/>
        <w:rPr>
          <w:rFonts w:eastAsia="Times New Roman"/>
        </w:rPr>
      </w:pPr>
      <w:r w:rsidRPr="00226288">
        <w:rPr>
          <w:rFonts w:eastAsia="Times New Roman"/>
        </w:rPr>
        <w:t xml:space="preserve">To illustrate the benefits of this new framework, take the example of </w:t>
      </w:r>
      <w:r w:rsidR="00B27530">
        <w:rPr>
          <w:rFonts w:eastAsia="Times New Roman"/>
        </w:rPr>
        <w:t>Entity 6</w:t>
      </w:r>
      <w:r w:rsidR="006736F1">
        <w:rPr>
          <w:rFonts w:eastAsia="Times New Roman"/>
        </w:rPr>
        <w:t>.</w:t>
      </w:r>
      <w:r w:rsidRPr="00226288">
        <w:rPr>
          <w:rFonts w:eastAsia="Times New Roman"/>
        </w:rPr>
        <w:t xml:space="preserve"> For the duration of this discussion the municipality shall be referred to as </w:t>
      </w:r>
      <w:r w:rsidR="00B27530">
        <w:rPr>
          <w:rFonts w:eastAsia="Times New Roman"/>
        </w:rPr>
        <w:t>Entity 6</w:t>
      </w:r>
      <w:r w:rsidRPr="00226288">
        <w:rPr>
          <w:rFonts w:eastAsia="Times New Roman"/>
        </w:rPr>
        <w:t xml:space="preserve">, as while the municipality could conceivably adopt </w:t>
      </w:r>
      <w:r w:rsidR="00F33C87">
        <w:rPr>
          <w:rFonts w:eastAsia="Times New Roman"/>
        </w:rPr>
        <w:t xml:space="preserve">Restigouche, </w:t>
      </w:r>
      <w:r w:rsidR="006736F1">
        <w:rPr>
          <w:rFonts w:eastAsia="Times New Roman"/>
        </w:rPr>
        <w:t>Saint-Quentin, Kedgwick</w:t>
      </w:r>
      <w:r w:rsidR="00F06AB9">
        <w:rPr>
          <w:rFonts w:eastAsia="Times New Roman"/>
        </w:rPr>
        <w:t>,</w:t>
      </w:r>
      <w:r w:rsidRPr="00226288">
        <w:rPr>
          <w:rFonts w:eastAsia="Times New Roman"/>
        </w:rPr>
        <w:t xml:space="preserve"> or any other name, the naming of the 53 municipal entities remains a task for the citizens of each entity.</w:t>
      </w:r>
      <w:r w:rsidRPr="00226288">
        <w:rPr>
          <w:rFonts w:eastAsia="Times New Roman"/>
          <w:vertAlign w:val="superscript"/>
        </w:rPr>
        <w:footnoteReference w:id="1"/>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46CB93EE" w:rsidR="00226288" w:rsidRPr="00226288" w:rsidRDefault="00226288" w:rsidP="00226288">
      <w:pPr>
        <w:rPr>
          <w:b/>
          <w:bCs/>
        </w:rPr>
      </w:pPr>
      <w:r w:rsidRPr="00226288">
        <w:rPr>
          <w:rFonts w:eastAsia="Times New Roman"/>
          <w:b/>
          <w:bCs/>
        </w:rPr>
        <w:t>Geographic Boundaries</w:t>
      </w:r>
    </w:p>
    <w:p w14:paraId="6080A722" w14:textId="3A1F2EC7" w:rsidR="00226288" w:rsidRPr="00226288" w:rsidRDefault="00B27530" w:rsidP="00E719AD">
      <w:pPr>
        <w:jc w:val="both"/>
        <w:rPr>
          <w:szCs w:val="24"/>
        </w:rPr>
      </w:pPr>
      <w:r>
        <w:rPr>
          <w:szCs w:val="24"/>
        </w:rPr>
        <w:t>Entity 6</w:t>
      </w:r>
      <w:r w:rsidR="00D02067">
        <w:rPr>
          <w:szCs w:val="24"/>
        </w:rPr>
        <w:t xml:space="preserve"> would be comprised of </w:t>
      </w:r>
      <w:r w:rsidR="006F1B6E">
        <w:rPr>
          <w:szCs w:val="24"/>
        </w:rPr>
        <w:t xml:space="preserve">the </w:t>
      </w:r>
      <w:r w:rsidR="006736F1">
        <w:rPr>
          <w:szCs w:val="24"/>
        </w:rPr>
        <w:t xml:space="preserve">Town of Saint-Quentin, the Rural Community of Kedgwick, and the </w:t>
      </w:r>
      <w:r w:rsidR="00675291">
        <w:rPr>
          <w:szCs w:val="24"/>
        </w:rPr>
        <w:t xml:space="preserve">Saint-Quentin, Eldon, St. Martin de Restigouche, </w:t>
      </w:r>
      <w:r w:rsidR="00914776">
        <w:rPr>
          <w:szCs w:val="24"/>
        </w:rPr>
        <w:t xml:space="preserve">White’s Brook, St. </w:t>
      </w:r>
      <w:r w:rsidR="00B9087E">
        <w:rPr>
          <w:szCs w:val="24"/>
        </w:rPr>
        <w:t>Jean</w:t>
      </w:r>
      <w:r w:rsidR="00914776">
        <w:rPr>
          <w:szCs w:val="24"/>
        </w:rPr>
        <w:t xml:space="preserve"> Baptiste de Restigouche, and Menneval LS</w:t>
      </w:r>
      <w:r w:rsidR="00B9087E">
        <w:rPr>
          <w:szCs w:val="24"/>
        </w:rPr>
        <w:t>Ds</w:t>
      </w:r>
      <w:r w:rsidR="000D0C37">
        <w:rPr>
          <w:szCs w:val="24"/>
        </w:rPr>
        <w:t xml:space="preserve">. </w:t>
      </w:r>
    </w:p>
    <w:p w14:paraId="739F74CC" w14:textId="1AFDC01D" w:rsidR="00226288" w:rsidRPr="00A228C8" w:rsidRDefault="003975CE" w:rsidP="00A228C8">
      <w:pPr>
        <w:jc w:val="both"/>
        <w:rPr>
          <w:szCs w:val="24"/>
        </w:rPr>
      </w:pPr>
      <w:r>
        <w:rPr>
          <w:szCs w:val="24"/>
        </w:rPr>
        <w:t xml:space="preserve">The </w:t>
      </w:r>
      <w:r w:rsidR="00205CFB">
        <w:rPr>
          <w:szCs w:val="24"/>
        </w:rPr>
        <w:t>municipal</w:t>
      </w:r>
      <w:r w:rsidR="00E316AF">
        <w:rPr>
          <w:szCs w:val="24"/>
        </w:rPr>
        <w:t xml:space="preserve"> entity would span the Western flank of Restigouche county</w:t>
      </w:r>
      <w:r w:rsidR="00DE2662">
        <w:rPr>
          <w:szCs w:val="24"/>
        </w:rPr>
        <w:t xml:space="preserve">, with its Northern border being Quebec, its Southern border being the county line, and its </w:t>
      </w:r>
      <w:r w:rsidR="00A00C83">
        <w:rPr>
          <w:szCs w:val="24"/>
        </w:rPr>
        <w:t xml:space="preserve">Eastern border running </w:t>
      </w:r>
      <w:r w:rsidR="00205CFB">
        <w:rPr>
          <w:szCs w:val="24"/>
        </w:rPr>
        <w:t>parallel</w:t>
      </w:r>
      <w:r w:rsidR="00A00C83">
        <w:rPr>
          <w:szCs w:val="24"/>
        </w:rPr>
        <w:t xml:space="preserve"> to the historical Addington parish line. The majority of the entity would be Crown land</w:t>
      </w:r>
      <w:r w:rsidR="00205CFB">
        <w:rPr>
          <w:szCs w:val="24"/>
        </w:rPr>
        <w:t>.</w:t>
      </w:r>
    </w:p>
    <w:p w14:paraId="4750B350" w14:textId="64BBFDA0" w:rsidR="00226288" w:rsidRPr="00226288" w:rsidRDefault="00A228C8" w:rsidP="00226288">
      <w:pPr>
        <w:rPr>
          <w:rFonts w:eastAsia="Times New Roman"/>
          <w:b/>
          <w:bCs/>
        </w:rPr>
      </w:pPr>
      <w:r>
        <w:rPr>
          <w:rFonts w:eastAsia="Times New Roman"/>
          <w:noProof/>
        </w:rPr>
        <w:drawing>
          <wp:anchor distT="0" distB="0" distL="114300" distR="114300" simplePos="0" relativeHeight="251661312" behindDoc="0" locked="0" layoutInCell="1" allowOverlap="1" wp14:anchorId="04D94468" wp14:editId="5E3335A5">
            <wp:simplePos x="0" y="0"/>
            <wp:positionH relativeFrom="column">
              <wp:posOffset>-635</wp:posOffset>
            </wp:positionH>
            <wp:positionV relativeFrom="paragraph">
              <wp:posOffset>21590</wp:posOffset>
            </wp:positionV>
            <wp:extent cx="3067050" cy="1993265"/>
            <wp:effectExtent l="0" t="0" r="0" b="6985"/>
            <wp:wrapThrough wrapText="bothSides">
              <wp:wrapPolygon edited="0">
                <wp:start x="537" y="0"/>
                <wp:lineTo x="0" y="619"/>
                <wp:lineTo x="0" y="21263"/>
                <wp:lineTo x="537" y="21469"/>
                <wp:lineTo x="20929" y="21469"/>
                <wp:lineTo x="21466" y="21263"/>
                <wp:lineTo x="21466" y="619"/>
                <wp:lineTo x="20929" y="0"/>
                <wp:lineTo x="53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5299" t="-379" b="46439"/>
                    <a:stretch/>
                  </pic:blipFill>
                  <pic:spPr bwMode="auto">
                    <a:xfrm>
                      <a:off x="0" y="0"/>
                      <a:ext cx="3067050" cy="19932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6288" w:rsidRPr="00226288">
        <w:rPr>
          <w:rFonts w:eastAsia="Times New Roman"/>
          <w:b/>
          <w:bCs/>
        </w:rPr>
        <w:t>Demographic Base</w:t>
      </w:r>
    </w:p>
    <w:p w14:paraId="7DFBF1FB" w14:textId="0B4D4E1C" w:rsidR="00226288" w:rsidRPr="00226288" w:rsidRDefault="00226288" w:rsidP="00B04C93">
      <w:pPr>
        <w:jc w:val="both"/>
        <w:rPr>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7E0F92">
        <w:rPr>
          <w:szCs w:val="24"/>
        </w:rPr>
        <w:t>6400</w:t>
      </w:r>
      <w:r w:rsidR="006437C2">
        <w:rPr>
          <w:szCs w:val="24"/>
        </w:rPr>
        <w:t xml:space="preserve"> people. The decrease in population since 2011 has been negligible</w:t>
      </w:r>
      <w:r w:rsidR="006040A2">
        <w:rPr>
          <w:szCs w:val="24"/>
        </w:rPr>
        <w:t xml:space="preserve"> with the growth in</w:t>
      </w:r>
      <w:r w:rsidR="00D93B90">
        <w:rPr>
          <w:szCs w:val="24"/>
        </w:rPr>
        <w:t xml:space="preserve"> the</w:t>
      </w:r>
      <w:r w:rsidR="006040A2">
        <w:rPr>
          <w:szCs w:val="24"/>
        </w:rPr>
        <w:t xml:space="preserve"> Saint-Quentin </w:t>
      </w:r>
      <w:r w:rsidR="00092F45">
        <w:rPr>
          <w:szCs w:val="24"/>
        </w:rPr>
        <w:t>T</w:t>
      </w:r>
      <w:r w:rsidR="00D93B90">
        <w:rPr>
          <w:szCs w:val="24"/>
        </w:rPr>
        <w:t xml:space="preserve">own and parish offsetting population decreases in other areas. </w:t>
      </w:r>
      <w:r w:rsidRPr="00226288">
        <w:rPr>
          <w:rFonts w:eastAsia="Times New Roman"/>
          <w:color w:val="000000" w:themeColor="text1"/>
          <w:szCs w:val="24"/>
        </w:rPr>
        <w:t xml:space="preserve">In accordance with the </w:t>
      </w:r>
      <w:r w:rsidRPr="00226288">
        <w:rPr>
          <w:rFonts w:eastAsia="Times New Roman"/>
          <w:i/>
          <w:iCs/>
          <w:color w:val="000000" w:themeColor="text1"/>
          <w:szCs w:val="24"/>
        </w:rPr>
        <w:t>Official Languages Act</w:t>
      </w:r>
      <w:r w:rsidRPr="00226288">
        <w:rPr>
          <w:rFonts w:eastAsia="Times New Roman"/>
          <w:color w:val="000000" w:themeColor="text1"/>
          <w:szCs w:val="24"/>
        </w:rPr>
        <w:t xml:space="preserve">, </w:t>
      </w:r>
      <w:r w:rsidR="00B27530">
        <w:rPr>
          <w:rFonts w:eastAsia="Times New Roman"/>
          <w:color w:val="000000" w:themeColor="text1"/>
          <w:szCs w:val="24"/>
        </w:rPr>
        <w:t>Entity 6</w:t>
      </w:r>
      <w:r w:rsidRPr="00226288">
        <w:rPr>
          <w:rFonts w:eastAsia="Times New Roman"/>
          <w:color w:val="000000" w:themeColor="text1"/>
          <w:szCs w:val="24"/>
        </w:rPr>
        <w:t xml:space="preserve"> would </w:t>
      </w:r>
      <w:r w:rsidR="003219CB">
        <w:rPr>
          <w:rFonts w:eastAsia="Times New Roman"/>
          <w:color w:val="000000" w:themeColor="text1"/>
          <w:szCs w:val="24"/>
        </w:rPr>
        <w:t xml:space="preserve">not </w:t>
      </w:r>
      <w:r w:rsidRPr="00226288">
        <w:rPr>
          <w:rFonts w:eastAsia="Times New Roman"/>
          <w:color w:val="000000" w:themeColor="text1"/>
          <w:szCs w:val="24"/>
        </w:rPr>
        <w:t xml:space="preserve">be required to operate bilingually because </w:t>
      </w:r>
      <w:r w:rsidR="003219CB">
        <w:rPr>
          <w:rFonts w:eastAsia="Times New Roman"/>
          <w:color w:val="000000" w:themeColor="text1"/>
          <w:szCs w:val="24"/>
        </w:rPr>
        <w:t>nearly 9</w:t>
      </w:r>
      <w:r w:rsidR="00876569">
        <w:rPr>
          <w:rFonts w:eastAsia="Times New Roman"/>
          <w:color w:val="000000" w:themeColor="text1"/>
          <w:szCs w:val="24"/>
        </w:rPr>
        <w:t>3</w:t>
      </w:r>
      <w:r w:rsidR="003219CB">
        <w:rPr>
          <w:rFonts w:eastAsia="Times New Roman"/>
          <w:color w:val="000000" w:themeColor="text1"/>
          <w:szCs w:val="24"/>
        </w:rPr>
        <w:t>% of the residents are Francophone</w:t>
      </w:r>
      <w:r w:rsidR="0009529B">
        <w:rPr>
          <w:rFonts w:eastAsia="Times New Roman"/>
          <w:color w:val="000000" w:themeColor="text1"/>
          <w:szCs w:val="24"/>
        </w:rPr>
        <w:t xml:space="preserve">s. </w:t>
      </w:r>
      <w:r w:rsidRPr="00226288">
        <w:rPr>
          <w:rFonts w:eastAsia="Times New Roman"/>
          <w:color w:val="000000" w:themeColor="text1"/>
          <w:szCs w:val="24"/>
        </w:rPr>
        <w:t xml:space="preserve"> </w:t>
      </w:r>
    </w:p>
    <w:tbl>
      <w:tblPr>
        <w:tblpPr w:leftFromText="180" w:rightFromText="180" w:vertAnchor="text" w:horzAnchor="margin" w:tblpXSpec="right" w:tblpY="1038"/>
        <w:tblOverlap w:val="never"/>
        <w:tblW w:w="5796" w:type="dxa"/>
        <w:tblLook w:val="04A0" w:firstRow="1" w:lastRow="0" w:firstColumn="1" w:lastColumn="0" w:noHBand="0" w:noVBand="1"/>
      </w:tblPr>
      <w:tblGrid>
        <w:gridCol w:w="2505"/>
        <w:gridCol w:w="1647"/>
        <w:gridCol w:w="1644"/>
      </w:tblGrid>
      <w:tr w:rsidR="00A228C8" w:rsidRPr="00E719AD" w14:paraId="7FB9BB0F" w14:textId="77777777" w:rsidTr="00A228C8">
        <w:trPr>
          <w:trHeight w:val="310"/>
        </w:trPr>
        <w:tc>
          <w:tcPr>
            <w:tcW w:w="5796" w:type="dxa"/>
            <w:gridSpan w:val="3"/>
            <w:tcBorders>
              <w:top w:val="nil"/>
              <w:left w:val="nil"/>
              <w:bottom w:val="single" w:sz="8" w:space="0" w:color="BFBFBF"/>
              <w:right w:val="nil"/>
            </w:tcBorders>
            <w:shd w:val="clear" w:color="auto" w:fill="auto"/>
            <w:noWrap/>
            <w:vAlign w:val="center"/>
            <w:hideMark/>
          </w:tcPr>
          <w:p w14:paraId="7656EC72" w14:textId="77777777" w:rsidR="00A228C8" w:rsidRPr="00E719AD" w:rsidRDefault="00A228C8" w:rsidP="00A228C8">
            <w:pPr>
              <w:spacing w:after="0" w:line="240" w:lineRule="auto"/>
              <w:jc w:val="center"/>
              <w:rPr>
                <w:rFonts w:eastAsia="Times New Roman"/>
                <w:b/>
                <w:bCs/>
                <w:color w:val="000000"/>
                <w:szCs w:val="24"/>
                <w:lang w:val="en-CA" w:eastAsia="en-CA"/>
              </w:rPr>
            </w:pPr>
            <w:r w:rsidRPr="00E719AD">
              <w:rPr>
                <w:rFonts w:eastAsia="Times New Roman"/>
                <w:b/>
                <w:bCs/>
                <w:color w:val="000000"/>
                <w:szCs w:val="24"/>
                <w:lang w:val="en-CA" w:eastAsia="en-CA"/>
              </w:rPr>
              <w:t>Voter Turnout by Existing Municipality</w:t>
            </w:r>
          </w:p>
        </w:tc>
      </w:tr>
      <w:tr w:rsidR="00A228C8" w:rsidRPr="00E719AD" w14:paraId="26E0D2EC" w14:textId="77777777" w:rsidTr="00A228C8">
        <w:trPr>
          <w:trHeight w:val="970"/>
        </w:trPr>
        <w:tc>
          <w:tcPr>
            <w:tcW w:w="2505" w:type="dxa"/>
            <w:tcBorders>
              <w:top w:val="nil"/>
              <w:left w:val="nil"/>
              <w:bottom w:val="nil"/>
              <w:right w:val="nil"/>
            </w:tcBorders>
            <w:shd w:val="clear" w:color="4472C4" w:fill="4472C4"/>
            <w:vAlign w:val="center"/>
            <w:hideMark/>
          </w:tcPr>
          <w:p w14:paraId="134A3326" w14:textId="77777777" w:rsidR="00A228C8" w:rsidRPr="00E719AD" w:rsidRDefault="00A228C8" w:rsidP="00A228C8">
            <w:pPr>
              <w:spacing w:after="0" w:line="240" w:lineRule="auto"/>
              <w:jc w:val="center"/>
              <w:rPr>
                <w:rFonts w:eastAsia="Times New Roman"/>
                <w:b/>
                <w:bCs/>
                <w:color w:val="000000"/>
                <w:szCs w:val="24"/>
                <w:lang w:val="en-CA" w:eastAsia="en-CA"/>
              </w:rPr>
            </w:pPr>
            <w:r w:rsidRPr="00E719AD">
              <w:rPr>
                <w:rFonts w:eastAsia="Times New Roman"/>
                <w:b/>
                <w:bCs/>
                <w:color w:val="000000"/>
                <w:szCs w:val="24"/>
                <w:lang w:val="en-CA" w:eastAsia="en-CA"/>
              </w:rPr>
              <w:t>Municipality</w:t>
            </w:r>
          </w:p>
        </w:tc>
        <w:tc>
          <w:tcPr>
            <w:tcW w:w="1647" w:type="dxa"/>
            <w:tcBorders>
              <w:top w:val="nil"/>
              <w:left w:val="single" w:sz="4" w:space="0" w:color="FFFFFF"/>
              <w:bottom w:val="nil"/>
              <w:right w:val="nil"/>
            </w:tcBorders>
            <w:shd w:val="clear" w:color="4472C4" w:fill="4472C4"/>
            <w:hideMark/>
          </w:tcPr>
          <w:p w14:paraId="209906A8" w14:textId="77777777" w:rsidR="00A228C8" w:rsidRPr="00E719AD" w:rsidRDefault="00A228C8" w:rsidP="00A228C8">
            <w:pPr>
              <w:spacing w:after="0" w:line="240" w:lineRule="auto"/>
              <w:jc w:val="center"/>
              <w:rPr>
                <w:rFonts w:eastAsia="Times New Roman"/>
                <w:b/>
                <w:bCs/>
                <w:color w:val="000000"/>
                <w:szCs w:val="24"/>
                <w:lang w:val="en-CA" w:eastAsia="en-CA"/>
              </w:rPr>
            </w:pPr>
            <w:r w:rsidRPr="00E719AD">
              <w:rPr>
                <w:rFonts w:eastAsia="Times New Roman"/>
                <w:b/>
                <w:bCs/>
                <w:color w:val="000000"/>
                <w:szCs w:val="24"/>
                <w:lang w:val="en-CA" w:eastAsia="en-CA"/>
              </w:rPr>
              <w:t>Voter Participation 2012</w:t>
            </w:r>
            <w:r w:rsidRPr="00E719AD">
              <w:rPr>
                <w:rFonts w:eastAsia="Times New Roman"/>
                <w:b/>
                <w:bCs/>
                <w:color w:val="000000"/>
                <w:szCs w:val="24"/>
                <w:vertAlign w:val="superscript"/>
                <w:lang w:val="en-CA" w:eastAsia="en-CA"/>
              </w:rPr>
              <w:t>1</w:t>
            </w:r>
          </w:p>
        </w:tc>
        <w:tc>
          <w:tcPr>
            <w:tcW w:w="1644" w:type="dxa"/>
            <w:tcBorders>
              <w:top w:val="nil"/>
              <w:left w:val="single" w:sz="4" w:space="0" w:color="FFFFFF"/>
              <w:bottom w:val="nil"/>
              <w:right w:val="nil"/>
            </w:tcBorders>
            <w:shd w:val="clear" w:color="4472C4" w:fill="4472C4"/>
            <w:hideMark/>
          </w:tcPr>
          <w:p w14:paraId="29A12A4F" w14:textId="77777777" w:rsidR="00A228C8" w:rsidRPr="00E719AD" w:rsidRDefault="00A228C8" w:rsidP="00A228C8">
            <w:pPr>
              <w:spacing w:after="0" w:line="240" w:lineRule="auto"/>
              <w:jc w:val="center"/>
              <w:rPr>
                <w:rFonts w:eastAsia="Times New Roman"/>
                <w:b/>
                <w:bCs/>
                <w:color w:val="000000"/>
                <w:szCs w:val="24"/>
                <w:lang w:val="en-CA" w:eastAsia="en-CA"/>
              </w:rPr>
            </w:pPr>
            <w:r w:rsidRPr="00E719AD">
              <w:rPr>
                <w:rFonts w:eastAsia="Times New Roman"/>
                <w:b/>
                <w:bCs/>
                <w:color w:val="000000"/>
                <w:szCs w:val="24"/>
                <w:lang w:val="en-CA" w:eastAsia="en-CA"/>
              </w:rPr>
              <w:t>Voter Participation 2016</w:t>
            </w:r>
          </w:p>
        </w:tc>
      </w:tr>
      <w:tr w:rsidR="00A228C8" w:rsidRPr="00E719AD" w14:paraId="78ACD1A4" w14:textId="77777777" w:rsidTr="00A228C8">
        <w:trPr>
          <w:trHeight w:val="350"/>
        </w:trPr>
        <w:tc>
          <w:tcPr>
            <w:tcW w:w="2505" w:type="dxa"/>
            <w:tcBorders>
              <w:top w:val="single" w:sz="12" w:space="0" w:color="FFFFFF"/>
              <w:left w:val="nil"/>
              <w:bottom w:val="nil"/>
              <w:right w:val="nil"/>
            </w:tcBorders>
            <w:shd w:val="clear" w:color="B4C6E7" w:fill="B4C6E7"/>
            <w:noWrap/>
            <w:vAlign w:val="bottom"/>
            <w:hideMark/>
          </w:tcPr>
          <w:p w14:paraId="1A086062" w14:textId="77777777" w:rsidR="00A228C8" w:rsidRPr="00E719AD" w:rsidRDefault="00A228C8" w:rsidP="00A228C8">
            <w:pPr>
              <w:spacing w:after="0" w:line="240" w:lineRule="auto"/>
              <w:rPr>
                <w:rFonts w:eastAsia="Times New Roman"/>
                <w:color w:val="000000"/>
                <w:szCs w:val="24"/>
                <w:lang w:val="en-CA" w:eastAsia="en-CA"/>
              </w:rPr>
            </w:pPr>
            <w:r w:rsidRPr="00E719AD">
              <w:rPr>
                <w:rFonts w:eastAsia="Times New Roman"/>
                <w:color w:val="000000"/>
                <w:szCs w:val="24"/>
                <w:lang w:val="en-CA" w:eastAsia="en-CA"/>
              </w:rPr>
              <w:t>Kedgwick</w:t>
            </w:r>
          </w:p>
        </w:tc>
        <w:tc>
          <w:tcPr>
            <w:tcW w:w="1647" w:type="dxa"/>
            <w:tcBorders>
              <w:top w:val="single" w:sz="12" w:space="0" w:color="FFFFFF"/>
              <w:left w:val="single" w:sz="4" w:space="0" w:color="FFFFFF"/>
              <w:bottom w:val="nil"/>
              <w:right w:val="nil"/>
            </w:tcBorders>
            <w:shd w:val="clear" w:color="B4C6E7" w:fill="B4C6E7"/>
            <w:noWrap/>
            <w:vAlign w:val="bottom"/>
            <w:hideMark/>
          </w:tcPr>
          <w:p w14:paraId="4E664F5D" w14:textId="77777777" w:rsidR="00A228C8" w:rsidRPr="00E719AD" w:rsidRDefault="00A228C8" w:rsidP="00A228C8">
            <w:pPr>
              <w:spacing w:after="0" w:line="240" w:lineRule="auto"/>
              <w:jc w:val="right"/>
              <w:rPr>
                <w:rFonts w:eastAsia="Times New Roman"/>
                <w:color w:val="000000"/>
                <w:szCs w:val="24"/>
                <w:lang w:val="en-CA" w:eastAsia="en-CA"/>
              </w:rPr>
            </w:pPr>
            <w:r w:rsidRPr="00E719AD">
              <w:rPr>
                <w:rFonts w:eastAsia="Times New Roman"/>
                <w:color w:val="000000"/>
                <w:szCs w:val="24"/>
                <w:lang w:val="en-CA" w:eastAsia="en-CA"/>
              </w:rPr>
              <w:t>78.2%</w:t>
            </w:r>
          </w:p>
        </w:tc>
        <w:tc>
          <w:tcPr>
            <w:tcW w:w="1644" w:type="dxa"/>
            <w:tcBorders>
              <w:top w:val="single" w:sz="12" w:space="0" w:color="FFFFFF"/>
              <w:left w:val="single" w:sz="4" w:space="0" w:color="FFFFFF"/>
              <w:bottom w:val="nil"/>
              <w:right w:val="nil"/>
            </w:tcBorders>
            <w:shd w:val="clear" w:color="B4C6E7" w:fill="B4C6E7"/>
            <w:noWrap/>
            <w:vAlign w:val="bottom"/>
            <w:hideMark/>
          </w:tcPr>
          <w:p w14:paraId="45FF92BA" w14:textId="77777777" w:rsidR="00A228C8" w:rsidRPr="00E719AD" w:rsidRDefault="00A228C8" w:rsidP="00A228C8">
            <w:pPr>
              <w:spacing w:after="0" w:line="240" w:lineRule="auto"/>
              <w:jc w:val="right"/>
              <w:rPr>
                <w:rFonts w:eastAsia="Times New Roman"/>
                <w:color w:val="000000"/>
                <w:szCs w:val="24"/>
                <w:lang w:val="en-CA" w:eastAsia="en-CA"/>
              </w:rPr>
            </w:pPr>
            <w:r w:rsidRPr="00E719AD">
              <w:rPr>
                <w:rFonts w:eastAsia="Times New Roman"/>
                <w:color w:val="000000"/>
                <w:szCs w:val="24"/>
                <w:lang w:val="en-CA" w:eastAsia="en-CA"/>
              </w:rPr>
              <w:t>73.7%</w:t>
            </w:r>
          </w:p>
        </w:tc>
      </w:tr>
      <w:tr w:rsidR="00A228C8" w:rsidRPr="00E719AD" w14:paraId="0CFEEE88" w14:textId="77777777" w:rsidTr="00A228C8">
        <w:trPr>
          <w:trHeight w:val="320"/>
        </w:trPr>
        <w:tc>
          <w:tcPr>
            <w:tcW w:w="2505" w:type="dxa"/>
            <w:tcBorders>
              <w:top w:val="single" w:sz="4" w:space="0" w:color="FFFFFF"/>
              <w:left w:val="nil"/>
              <w:bottom w:val="nil"/>
              <w:right w:val="nil"/>
            </w:tcBorders>
            <w:shd w:val="clear" w:color="D9E1F2" w:fill="D9E1F2"/>
            <w:noWrap/>
            <w:vAlign w:val="bottom"/>
            <w:hideMark/>
          </w:tcPr>
          <w:p w14:paraId="18F38C3F" w14:textId="77777777" w:rsidR="00A228C8" w:rsidRPr="00E719AD" w:rsidRDefault="00A228C8" w:rsidP="00A228C8">
            <w:pPr>
              <w:spacing w:after="0" w:line="240" w:lineRule="auto"/>
              <w:rPr>
                <w:rFonts w:eastAsia="Times New Roman"/>
                <w:color w:val="000000"/>
                <w:szCs w:val="24"/>
                <w:lang w:val="en-CA" w:eastAsia="en-CA"/>
              </w:rPr>
            </w:pPr>
            <w:r w:rsidRPr="00E719AD">
              <w:rPr>
                <w:rFonts w:eastAsia="Times New Roman"/>
                <w:color w:val="000000"/>
                <w:szCs w:val="24"/>
                <w:lang w:val="en-CA" w:eastAsia="en-CA"/>
              </w:rPr>
              <w:t>Saint-Quentin</w:t>
            </w:r>
          </w:p>
        </w:tc>
        <w:tc>
          <w:tcPr>
            <w:tcW w:w="1647" w:type="dxa"/>
            <w:tcBorders>
              <w:top w:val="single" w:sz="4" w:space="0" w:color="FFFFFF"/>
              <w:left w:val="single" w:sz="4" w:space="0" w:color="FFFFFF"/>
              <w:bottom w:val="nil"/>
              <w:right w:val="nil"/>
            </w:tcBorders>
            <w:shd w:val="clear" w:color="D9E1F2" w:fill="D9E1F2"/>
            <w:noWrap/>
            <w:vAlign w:val="bottom"/>
            <w:hideMark/>
          </w:tcPr>
          <w:p w14:paraId="5258168A" w14:textId="77777777" w:rsidR="00A228C8" w:rsidRPr="00E719AD" w:rsidRDefault="00A228C8" w:rsidP="00A228C8">
            <w:pPr>
              <w:spacing w:after="0" w:line="240" w:lineRule="auto"/>
              <w:jc w:val="right"/>
              <w:rPr>
                <w:rFonts w:eastAsia="Times New Roman"/>
                <w:color w:val="000000"/>
                <w:szCs w:val="24"/>
                <w:lang w:val="en-CA" w:eastAsia="en-CA"/>
              </w:rPr>
            </w:pPr>
            <w:r w:rsidRPr="00E719AD">
              <w:rPr>
                <w:rFonts w:eastAsia="Times New Roman"/>
                <w:color w:val="000000"/>
                <w:szCs w:val="24"/>
                <w:lang w:val="en-CA" w:eastAsia="en-CA"/>
              </w:rPr>
              <w:t>61.4%</w:t>
            </w:r>
          </w:p>
        </w:tc>
        <w:tc>
          <w:tcPr>
            <w:tcW w:w="1644" w:type="dxa"/>
            <w:tcBorders>
              <w:top w:val="single" w:sz="4" w:space="0" w:color="FFFFFF"/>
              <w:left w:val="single" w:sz="4" w:space="0" w:color="FFFFFF"/>
              <w:bottom w:val="nil"/>
              <w:right w:val="nil"/>
            </w:tcBorders>
            <w:shd w:val="clear" w:color="D9E1F2" w:fill="D9E1F2"/>
            <w:noWrap/>
            <w:vAlign w:val="bottom"/>
            <w:hideMark/>
          </w:tcPr>
          <w:p w14:paraId="18659B2E" w14:textId="77777777" w:rsidR="00A228C8" w:rsidRPr="00E719AD" w:rsidRDefault="00A228C8" w:rsidP="00A228C8">
            <w:pPr>
              <w:spacing w:after="0" w:line="240" w:lineRule="auto"/>
              <w:jc w:val="right"/>
              <w:rPr>
                <w:rFonts w:eastAsia="Times New Roman"/>
                <w:color w:val="000000"/>
                <w:szCs w:val="24"/>
                <w:lang w:val="en-CA" w:eastAsia="en-CA"/>
              </w:rPr>
            </w:pPr>
            <w:r w:rsidRPr="00E719AD">
              <w:rPr>
                <w:rFonts w:eastAsia="Times New Roman"/>
                <w:color w:val="000000"/>
                <w:szCs w:val="24"/>
                <w:lang w:val="en-CA" w:eastAsia="en-CA"/>
              </w:rPr>
              <w:t>acclaimed</w:t>
            </w:r>
          </w:p>
        </w:tc>
      </w:tr>
      <w:tr w:rsidR="00A228C8" w:rsidRPr="00E719AD" w14:paraId="5E6B0AD8" w14:textId="77777777" w:rsidTr="00A228C8">
        <w:trPr>
          <w:trHeight w:val="310"/>
        </w:trPr>
        <w:tc>
          <w:tcPr>
            <w:tcW w:w="5796" w:type="dxa"/>
            <w:gridSpan w:val="3"/>
            <w:tcBorders>
              <w:top w:val="nil"/>
              <w:left w:val="nil"/>
              <w:bottom w:val="nil"/>
              <w:right w:val="nil"/>
            </w:tcBorders>
            <w:shd w:val="clear" w:color="auto" w:fill="auto"/>
            <w:noWrap/>
            <w:vAlign w:val="bottom"/>
            <w:hideMark/>
          </w:tcPr>
          <w:p w14:paraId="2B11A170" w14:textId="77777777" w:rsidR="00A228C8" w:rsidRPr="00E719AD" w:rsidRDefault="00A228C8" w:rsidP="00A228C8">
            <w:pPr>
              <w:spacing w:after="0" w:line="240" w:lineRule="auto"/>
              <w:rPr>
                <w:rFonts w:eastAsia="Times New Roman"/>
                <w:color w:val="000000"/>
                <w:sz w:val="20"/>
                <w:szCs w:val="20"/>
                <w:lang w:val="en-CA" w:eastAsia="en-CA"/>
              </w:rPr>
            </w:pPr>
            <w:r w:rsidRPr="00E719AD">
              <w:rPr>
                <w:rFonts w:eastAsia="Times New Roman"/>
                <w:color w:val="000000"/>
                <w:sz w:val="20"/>
                <w:szCs w:val="20"/>
                <w:lang w:val="en-CA" w:eastAsia="en-CA"/>
              </w:rPr>
              <w:t>1. Elections NB</w:t>
            </w:r>
          </w:p>
        </w:tc>
      </w:tr>
    </w:tbl>
    <w:p w14:paraId="55088FEB" w14:textId="6B36BFBC" w:rsidR="009A3B95" w:rsidRDefault="00226288" w:rsidP="00B04C93">
      <w:pPr>
        <w:jc w:val="both"/>
        <w:rPr>
          <w:rFonts w:eastAsia="Times New Roman"/>
          <w:color w:val="000000" w:themeColor="text1"/>
          <w:szCs w:val="24"/>
        </w:rPr>
      </w:pPr>
      <w:r w:rsidRPr="00226288">
        <w:rPr>
          <w:rFonts w:eastAsia="Times New Roman"/>
          <w:color w:val="000000" w:themeColor="text1"/>
          <w:szCs w:val="24"/>
        </w:rPr>
        <w:t xml:space="preserve">The unification of the </w:t>
      </w:r>
      <w:r w:rsidR="00503E48">
        <w:rPr>
          <w:rFonts w:eastAsia="Times New Roman"/>
          <w:color w:val="000000" w:themeColor="text1"/>
          <w:szCs w:val="24"/>
        </w:rPr>
        <w:t xml:space="preserve">region’s </w:t>
      </w:r>
      <w:r w:rsidRPr="00226288">
        <w:rPr>
          <w:rFonts w:eastAsia="Times New Roman"/>
          <w:color w:val="000000" w:themeColor="text1"/>
          <w:szCs w:val="24"/>
        </w:rPr>
        <w:t xml:space="preserve">population would improve the state of local democratic institutions. </w:t>
      </w:r>
      <w:r w:rsidR="009A3B95">
        <w:rPr>
          <w:rFonts w:eastAsia="Times New Roman"/>
          <w:color w:val="000000" w:themeColor="text1"/>
          <w:szCs w:val="24"/>
        </w:rPr>
        <w:t xml:space="preserve">As it stands today, the vast majority of the </w:t>
      </w:r>
      <w:r w:rsidR="009106B0">
        <w:rPr>
          <w:rFonts w:eastAsia="Times New Roman"/>
          <w:color w:val="000000" w:themeColor="text1"/>
          <w:szCs w:val="24"/>
        </w:rPr>
        <w:t xml:space="preserve">proposed entity’s landmass has no representative local government, and accordingly, no local land use planning. </w:t>
      </w:r>
      <w:r w:rsidR="00DF23A1">
        <w:rPr>
          <w:rFonts w:eastAsia="Times New Roman"/>
          <w:color w:val="000000" w:themeColor="text1"/>
          <w:szCs w:val="24"/>
        </w:rPr>
        <w:t xml:space="preserve">The state of democratic institutions in the proposed entity’s two </w:t>
      </w:r>
      <w:r w:rsidR="00B53E52">
        <w:rPr>
          <w:rFonts w:eastAsia="Times New Roman"/>
          <w:color w:val="000000" w:themeColor="text1"/>
          <w:szCs w:val="24"/>
        </w:rPr>
        <w:t>incorporated areas, Saint-Quentin and Kedgwick, sho</w:t>
      </w:r>
      <w:r w:rsidR="009E1870">
        <w:rPr>
          <w:rFonts w:eastAsia="Times New Roman"/>
          <w:color w:val="000000" w:themeColor="text1"/>
          <w:szCs w:val="24"/>
        </w:rPr>
        <w:t xml:space="preserve">w </w:t>
      </w:r>
      <w:r w:rsidR="00B53E52">
        <w:rPr>
          <w:rFonts w:eastAsia="Times New Roman"/>
          <w:color w:val="000000" w:themeColor="text1"/>
          <w:szCs w:val="24"/>
        </w:rPr>
        <w:t xml:space="preserve">very different levels of political engagement and </w:t>
      </w:r>
      <w:r w:rsidR="009E1870">
        <w:rPr>
          <w:rFonts w:eastAsia="Times New Roman"/>
          <w:color w:val="000000" w:themeColor="text1"/>
          <w:szCs w:val="24"/>
        </w:rPr>
        <w:t xml:space="preserve">democratic health. </w:t>
      </w:r>
    </w:p>
    <w:p w14:paraId="5E7B992B" w14:textId="0A1299AD" w:rsidR="000C0824" w:rsidRDefault="004F7378" w:rsidP="00B04C93">
      <w:pPr>
        <w:jc w:val="both"/>
        <w:rPr>
          <w:rFonts w:eastAsia="Times New Roman"/>
          <w:color w:val="000000" w:themeColor="text1"/>
          <w:szCs w:val="24"/>
        </w:rPr>
      </w:pPr>
      <w:r>
        <w:rPr>
          <w:rFonts w:eastAsia="Times New Roman"/>
          <w:color w:val="000000" w:themeColor="text1"/>
          <w:szCs w:val="24"/>
        </w:rPr>
        <w:t xml:space="preserve">Having recently </w:t>
      </w:r>
      <w:r w:rsidR="0006709B">
        <w:rPr>
          <w:rFonts w:eastAsia="Times New Roman"/>
          <w:color w:val="000000" w:themeColor="text1"/>
          <w:szCs w:val="24"/>
        </w:rPr>
        <w:t xml:space="preserve">amalgamated with the surrounding LSDs, Kedgwick </w:t>
      </w:r>
      <w:r w:rsidR="0006709B">
        <w:rPr>
          <w:rFonts w:eastAsia="Times New Roman"/>
          <w:color w:val="000000" w:themeColor="text1"/>
          <w:szCs w:val="24"/>
        </w:rPr>
        <w:lastRenderedPageBreak/>
        <w:t xml:space="preserve">had a remarkable voter turnout rate in the previous quadrennial municipal election. </w:t>
      </w:r>
      <w:r w:rsidR="00ED702F">
        <w:rPr>
          <w:rFonts w:eastAsia="Times New Roman"/>
          <w:color w:val="000000" w:themeColor="text1"/>
          <w:szCs w:val="24"/>
        </w:rPr>
        <w:t>Kedgwick’s 73.69% voter turnout rate is</w:t>
      </w:r>
      <w:r w:rsidR="000C0824">
        <w:rPr>
          <w:rFonts w:eastAsia="Times New Roman"/>
          <w:color w:val="000000" w:themeColor="text1"/>
          <w:szCs w:val="24"/>
        </w:rPr>
        <w:t xml:space="preserve"> the highest among </w:t>
      </w:r>
      <w:r w:rsidR="00C36321">
        <w:rPr>
          <w:rFonts w:eastAsia="Times New Roman"/>
          <w:color w:val="000000" w:themeColor="text1"/>
          <w:szCs w:val="24"/>
        </w:rPr>
        <w:t>Rural Communities</w:t>
      </w:r>
      <w:r w:rsidR="00560445">
        <w:rPr>
          <w:rFonts w:eastAsia="Times New Roman"/>
          <w:color w:val="000000" w:themeColor="text1"/>
          <w:szCs w:val="24"/>
        </w:rPr>
        <w:t xml:space="preserve">, but even with the outliers of Hanwell and Campobello </w:t>
      </w:r>
      <w:r w:rsidR="0010753B">
        <w:rPr>
          <w:rFonts w:eastAsia="Times New Roman"/>
          <w:color w:val="000000" w:themeColor="text1"/>
          <w:szCs w:val="24"/>
        </w:rPr>
        <w:t xml:space="preserve">included, the average voter turnout rate of Rural Communities is ten points ahead of the provincial average. </w:t>
      </w:r>
      <w:r w:rsidR="00A835ED">
        <w:rPr>
          <w:rFonts w:eastAsia="Times New Roman"/>
          <w:color w:val="000000" w:themeColor="text1"/>
          <w:szCs w:val="24"/>
        </w:rPr>
        <w:t>Kedgwick</w:t>
      </w:r>
      <w:r w:rsidR="00FC527C">
        <w:rPr>
          <w:rFonts w:eastAsia="Times New Roman"/>
          <w:color w:val="000000" w:themeColor="text1"/>
          <w:szCs w:val="24"/>
        </w:rPr>
        <w:t>’s</w:t>
      </w:r>
      <w:r w:rsidR="00CB38DB">
        <w:rPr>
          <w:rFonts w:eastAsia="Times New Roman"/>
          <w:color w:val="000000" w:themeColor="text1"/>
          <w:szCs w:val="24"/>
        </w:rPr>
        <w:t xml:space="preserve"> success is therefore indicative of the </w:t>
      </w:r>
      <w:r w:rsidR="006D6A15">
        <w:rPr>
          <w:rFonts w:eastAsia="Times New Roman"/>
          <w:color w:val="000000" w:themeColor="text1"/>
          <w:szCs w:val="24"/>
        </w:rPr>
        <w:t xml:space="preserve">benefit and necessity of extending representative government not previously unincorporated areas. </w:t>
      </w:r>
    </w:p>
    <w:tbl>
      <w:tblPr>
        <w:tblpPr w:leftFromText="180" w:rightFromText="180" w:vertAnchor="text" w:horzAnchor="margin" w:tblpXSpec="right" w:tblpY="2713"/>
        <w:tblW w:w="7356" w:type="dxa"/>
        <w:tblLook w:val="04A0" w:firstRow="1" w:lastRow="0" w:firstColumn="1" w:lastColumn="0" w:noHBand="0" w:noVBand="1"/>
      </w:tblPr>
      <w:tblGrid>
        <w:gridCol w:w="1913"/>
        <w:gridCol w:w="1268"/>
        <w:gridCol w:w="1544"/>
        <w:gridCol w:w="1268"/>
        <w:gridCol w:w="1363"/>
      </w:tblGrid>
      <w:tr w:rsidR="00AA2A52" w:rsidRPr="00631A92" w14:paraId="0540CA77" w14:textId="77777777" w:rsidTr="00AA2A52">
        <w:trPr>
          <w:trHeight w:val="310"/>
        </w:trPr>
        <w:tc>
          <w:tcPr>
            <w:tcW w:w="7356" w:type="dxa"/>
            <w:gridSpan w:val="5"/>
            <w:tcBorders>
              <w:top w:val="nil"/>
              <w:left w:val="nil"/>
              <w:bottom w:val="single" w:sz="4" w:space="0" w:color="FFFFFF"/>
              <w:right w:val="nil"/>
            </w:tcBorders>
            <w:shd w:val="clear" w:color="auto" w:fill="auto"/>
            <w:noWrap/>
            <w:vAlign w:val="center"/>
            <w:hideMark/>
          </w:tcPr>
          <w:p w14:paraId="180EA79C" w14:textId="77777777" w:rsidR="00AA2A52" w:rsidRPr="00631A92" w:rsidRDefault="00AA2A52" w:rsidP="00AA2A52">
            <w:pPr>
              <w:spacing w:after="0" w:line="240" w:lineRule="auto"/>
              <w:jc w:val="center"/>
              <w:rPr>
                <w:rFonts w:eastAsia="Times New Roman"/>
                <w:b/>
                <w:bCs/>
                <w:color w:val="000000"/>
                <w:szCs w:val="24"/>
                <w:lang w:val="en-CA" w:eastAsia="en-CA"/>
              </w:rPr>
            </w:pPr>
            <w:r w:rsidRPr="00631A92">
              <w:rPr>
                <w:rFonts w:eastAsia="Times New Roman"/>
                <w:b/>
                <w:bCs/>
                <w:color w:val="000000"/>
                <w:szCs w:val="24"/>
                <w:lang w:val="en-CA" w:eastAsia="en-CA"/>
              </w:rPr>
              <w:t>Status of By-Elections for Mayors and/or Councillors</w:t>
            </w:r>
          </w:p>
        </w:tc>
      </w:tr>
      <w:tr w:rsidR="00AA2A52" w:rsidRPr="00631A92" w14:paraId="67B7AF70" w14:textId="77777777" w:rsidTr="00AA2A52">
        <w:trPr>
          <w:trHeight w:val="970"/>
        </w:trPr>
        <w:tc>
          <w:tcPr>
            <w:tcW w:w="1913" w:type="dxa"/>
            <w:vMerge w:val="restart"/>
            <w:tcBorders>
              <w:top w:val="nil"/>
              <w:left w:val="single" w:sz="4" w:space="0" w:color="FFFFFF"/>
              <w:bottom w:val="single" w:sz="12" w:space="0" w:color="FFFFFF"/>
              <w:right w:val="single" w:sz="4" w:space="0" w:color="FFFFFF"/>
            </w:tcBorders>
            <w:shd w:val="clear" w:color="4472C4" w:fill="4472C4"/>
            <w:vAlign w:val="center"/>
            <w:hideMark/>
          </w:tcPr>
          <w:p w14:paraId="21A3F2F3" w14:textId="77777777" w:rsidR="00AA2A52" w:rsidRPr="00631A92" w:rsidRDefault="00AA2A52" w:rsidP="00AA2A52">
            <w:pPr>
              <w:spacing w:after="0" w:line="240" w:lineRule="auto"/>
              <w:jc w:val="center"/>
              <w:rPr>
                <w:rFonts w:eastAsia="Times New Roman"/>
                <w:b/>
                <w:bCs/>
                <w:color w:val="000000"/>
                <w:szCs w:val="24"/>
                <w:lang w:val="en-CA" w:eastAsia="en-CA"/>
              </w:rPr>
            </w:pPr>
            <w:r w:rsidRPr="00631A92">
              <w:rPr>
                <w:rFonts w:eastAsia="Times New Roman"/>
                <w:b/>
                <w:bCs/>
                <w:color w:val="000000"/>
                <w:szCs w:val="24"/>
                <w:lang w:val="en-CA" w:eastAsia="en-CA"/>
              </w:rPr>
              <w:t>Municipality</w:t>
            </w:r>
          </w:p>
        </w:tc>
        <w:tc>
          <w:tcPr>
            <w:tcW w:w="2812" w:type="dxa"/>
            <w:gridSpan w:val="2"/>
            <w:tcBorders>
              <w:top w:val="single" w:sz="4" w:space="0" w:color="FFFFFF"/>
              <w:left w:val="nil"/>
              <w:bottom w:val="single" w:sz="4" w:space="0" w:color="FFFFFF"/>
              <w:right w:val="single" w:sz="4" w:space="0" w:color="FFFFFF"/>
            </w:tcBorders>
            <w:shd w:val="clear" w:color="4472C4" w:fill="4472C4"/>
            <w:vAlign w:val="center"/>
            <w:hideMark/>
          </w:tcPr>
          <w:p w14:paraId="29AC2534" w14:textId="77777777" w:rsidR="00AA2A52" w:rsidRPr="00631A92" w:rsidRDefault="00AA2A52" w:rsidP="00AA2A52">
            <w:pPr>
              <w:spacing w:after="0" w:line="240" w:lineRule="auto"/>
              <w:jc w:val="center"/>
              <w:rPr>
                <w:rFonts w:eastAsia="Times New Roman"/>
                <w:b/>
                <w:bCs/>
                <w:color w:val="000000"/>
                <w:szCs w:val="24"/>
                <w:lang w:val="en-CA" w:eastAsia="en-CA"/>
              </w:rPr>
            </w:pPr>
            <w:r w:rsidRPr="00631A92">
              <w:rPr>
                <w:rFonts w:eastAsia="Times New Roman"/>
                <w:b/>
                <w:bCs/>
                <w:color w:val="000000"/>
                <w:szCs w:val="24"/>
                <w:lang w:val="en-CA" w:eastAsia="en-CA"/>
              </w:rPr>
              <w:t>2017 By-Election(s)</w:t>
            </w:r>
          </w:p>
        </w:tc>
        <w:tc>
          <w:tcPr>
            <w:tcW w:w="2631" w:type="dxa"/>
            <w:gridSpan w:val="2"/>
            <w:tcBorders>
              <w:top w:val="nil"/>
              <w:left w:val="nil"/>
              <w:bottom w:val="single" w:sz="4" w:space="0" w:color="FFFFFF"/>
              <w:right w:val="single" w:sz="4" w:space="0" w:color="FFFFFF"/>
            </w:tcBorders>
            <w:shd w:val="clear" w:color="4472C4" w:fill="4472C4"/>
            <w:vAlign w:val="center"/>
            <w:hideMark/>
          </w:tcPr>
          <w:p w14:paraId="4C1BF5F6" w14:textId="77777777" w:rsidR="00AA2A52" w:rsidRPr="00631A92" w:rsidRDefault="00AA2A52" w:rsidP="00AA2A52">
            <w:pPr>
              <w:spacing w:after="0" w:line="240" w:lineRule="auto"/>
              <w:jc w:val="center"/>
              <w:rPr>
                <w:rFonts w:eastAsia="Times New Roman"/>
                <w:b/>
                <w:bCs/>
                <w:color w:val="000000"/>
                <w:szCs w:val="24"/>
                <w:lang w:val="en-CA" w:eastAsia="en-CA"/>
              </w:rPr>
            </w:pPr>
            <w:r w:rsidRPr="00631A92">
              <w:rPr>
                <w:rFonts w:eastAsia="Times New Roman"/>
                <w:b/>
                <w:bCs/>
                <w:color w:val="000000"/>
                <w:szCs w:val="24"/>
                <w:lang w:val="en-CA" w:eastAsia="en-CA"/>
              </w:rPr>
              <w:t>2018 By-Election(s)</w:t>
            </w:r>
          </w:p>
        </w:tc>
      </w:tr>
      <w:tr w:rsidR="00AA2A52" w:rsidRPr="00631A92" w14:paraId="2FC2AD3E" w14:textId="77777777" w:rsidTr="00AA2A52">
        <w:trPr>
          <w:trHeight w:val="350"/>
        </w:trPr>
        <w:tc>
          <w:tcPr>
            <w:tcW w:w="1913" w:type="dxa"/>
            <w:vMerge/>
            <w:tcBorders>
              <w:top w:val="nil"/>
              <w:left w:val="single" w:sz="4" w:space="0" w:color="FFFFFF"/>
              <w:bottom w:val="single" w:sz="12" w:space="0" w:color="FFFFFF"/>
              <w:right w:val="single" w:sz="4" w:space="0" w:color="FFFFFF"/>
            </w:tcBorders>
            <w:vAlign w:val="center"/>
            <w:hideMark/>
          </w:tcPr>
          <w:p w14:paraId="0CD24A0F" w14:textId="77777777" w:rsidR="00AA2A52" w:rsidRPr="00631A92" w:rsidRDefault="00AA2A52" w:rsidP="00AA2A52">
            <w:pPr>
              <w:spacing w:after="0" w:line="240" w:lineRule="auto"/>
              <w:rPr>
                <w:rFonts w:eastAsia="Times New Roman"/>
                <w:b/>
                <w:bCs/>
                <w:color w:val="000000"/>
                <w:szCs w:val="24"/>
                <w:lang w:val="en-CA" w:eastAsia="en-CA"/>
              </w:rPr>
            </w:pPr>
          </w:p>
        </w:tc>
        <w:tc>
          <w:tcPr>
            <w:tcW w:w="1268" w:type="dxa"/>
            <w:tcBorders>
              <w:top w:val="nil"/>
              <w:left w:val="nil"/>
              <w:bottom w:val="single" w:sz="4" w:space="0" w:color="FFFFFF"/>
              <w:right w:val="single" w:sz="4" w:space="0" w:color="FFFFFF"/>
            </w:tcBorders>
            <w:shd w:val="clear" w:color="4472C4" w:fill="4472C4"/>
            <w:vAlign w:val="center"/>
            <w:hideMark/>
          </w:tcPr>
          <w:p w14:paraId="7A6FEA47" w14:textId="77777777" w:rsidR="00AA2A52" w:rsidRPr="00631A92" w:rsidRDefault="00AA2A52" w:rsidP="00AA2A52">
            <w:pPr>
              <w:spacing w:after="0" w:line="240" w:lineRule="auto"/>
              <w:jc w:val="center"/>
              <w:rPr>
                <w:rFonts w:eastAsia="Times New Roman"/>
                <w:b/>
                <w:bCs/>
                <w:color w:val="000000"/>
                <w:szCs w:val="24"/>
                <w:lang w:val="en-CA" w:eastAsia="en-CA"/>
              </w:rPr>
            </w:pPr>
            <w:r w:rsidRPr="00631A92">
              <w:rPr>
                <w:rFonts w:eastAsia="Times New Roman"/>
                <w:b/>
                <w:bCs/>
                <w:color w:val="000000"/>
                <w:szCs w:val="24"/>
                <w:lang w:val="en-CA" w:eastAsia="en-CA"/>
              </w:rPr>
              <w:t>Mayor</w:t>
            </w:r>
          </w:p>
        </w:tc>
        <w:tc>
          <w:tcPr>
            <w:tcW w:w="1544" w:type="dxa"/>
            <w:tcBorders>
              <w:top w:val="nil"/>
              <w:left w:val="nil"/>
              <w:bottom w:val="single" w:sz="4" w:space="0" w:color="FFFFFF"/>
              <w:right w:val="single" w:sz="4" w:space="0" w:color="FFFFFF"/>
            </w:tcBorders>
            <w:shd w:val="clear" w:color="4472C4" w:fill="4472C4"/>
            <w:vAlign w:val="center"/>
            <w:hideMark/>
          </w:tcPr>
          <w:p w14:paraId="327B94EA" w14:textId="77777777" w:rsidR="00AA2A52" w:rsidRPr="00631A92" w:rsidRDefault="00AA2A52" w:rsidP="00AA2A52">
            <w:pPr>
              <w:spacing w:after="0" w:line="240" w:lineRule="auto"/>
              <w:jc w:val="center"/>
              <w:rPr>
                <w:rFonts w:eastAsia="Times New Roman"/>
                <w:b/>
                <w:bCs/>
                <w:color w:val="000000"/>
                <w:szCs w:val="24"/>
                <w:lang w:val="en-CA" w:eastAsia="en-CA"/>
              </w:rPr>
            </w:pPr>
            <w:r w:rsidRPr="00631A92">
              <w:rPr>
                <w:rFonts w:eastAsia="Times New Roman"/>
                <w:b/>
                <w:bCs/>
                <w:color w:val="000000"/>
                <w:szCs w:val="24"/>
                <w:lang w:val="en-CA" w:eastAsia="en-CA"/>
              </w:rPr>
              <w:t>Councillor</w:t>
            </w:r>
          </w:p>
        </w:tc>
        <w:tc>
          <w:tcPr>
            <w:tcW w:w="1268" w:type="dxa"/>
            <w:tcBorders>
              <w:top w:val="nil"/>
              <w:left w:val="nil"/>
              <w:bottom w:val="single" w:sz="4" w:space="0" w:color="FFFFFF"/>
              <w:right w:val="single" w:sz="4" w:space="0" w:color="FFFFFF"/>
            </w:tcBorders>
            <w:shd w:val="clear" w:color="4472C4" w:fill="4472C4"/>
            <w:vAlign w:val="center"/>
            <w:hideMark/>
          </w:tcPr>
          <w:p w14:paraId="4A0C96DF" w14:textId="77777777" w:rsidR="00AA2A52" w:rsidRPr="00631A92" w:rsidRDefault="00AA2A52" w:rsidP="00AA2A52">
            <w:pPr>
              <w:spacing w:after="0" w:line="240" w:lineRule="auto"/>
              <w:jc w:val="center"/>
              <w:rPr>
                <w:rFonts w:eastAsia="Times New Roman"/>
                <w:b/>
                <w:bCs/>
                <w:color w:val="000000"/>
                <w:szCs w:val="24"/>
                <w:lang w:val="en-CA" w:eastAsia="en-CA"/>
              </w:rPr>
            </w:pPr>
            <w:r w:rsidRPr="00631A92">
              <w:rPr>
                <w:rFonts w:eastAsia="Times New Roman"/>
                <w:b/>
                <w:bCs/>
                <w:color w:val="000000"/>
                <w:szCs w:val="24"/>
                <w:lang w:val="en-CA" w:eastAsia="en-CA"/>
              </w:rPr>
              <w:t>Mayor</w:t>
            </w:r>
          </w:p>
        </w:tc>
        <w:tc>
          <w:tcPr>
            <w:tcW w:w="1363" w:type="dxa"/>
            <w:tcBorders>
              <w:top w:val="nil"/>
              <w:left w:val="nil"/>
              <w:bottom w:val="single" w:sz="4" w:space="0" w:color="FFFFFF"/>
              <w:right w:val="single" w:sz="4" w:space="0" w:color="FFFFFF"/>
            </w:tcBorders>
            <w:shd w:val="clear" w:color="4472C4" w:fill="4472C4"/>
            <w:vAlign w:val="center"/>
            <w:hideMark/>
          </w:tcPr>
          <w:p w14:paraId="6004B5E3" w14:textId="77777777" w:rsidR="00AA2A52" w:rsidRPr="00631A92" w:rsidRDefault="00AA2A52" w:rsidP="00AA2A52">
            <w:pPr>
              <w:spacing w:after="0" w:line="240" w:lineRule="auto"/>
              <w:jc w:val="center"/>
              <w:rPr>
                <w:rFonts w:eastAsia="Times New Roman"/>
                <w:b/>
                <w:bCs/>
                <w:color w:val="000000"/>
                <w:szCs w:val="24"/>
                <w:lang w:val="en-CA" w:eastAsia="en-CA"/>
              </w:rPr>
            </w:pPr>
            <w:r w:rsidRPr="00631A92">
              <w:rPr>
                <w:rFonts w:eastAsia="Times New Roman"/>
                <w:b/>
                <w:bCs/>
                <w:color w:val="000000"/>
                <w:szCs w:val="24"/>
                <w:lang w:val="en-CA" w:eastAsia="en-CA"/>
              </w:rPr>
              <w:t>Councillor</w:t>
            </w:r>
          </w:p>
        </w:tc>
      </w:tr>
      <w:tr w:rsidR="00AA2A52" w:rsidRPr="00631A92" w14:paraId="4FDD9397" w14:textId="77777777" w:rsidTr="00AA2A52">
        <w:trPr>
          <w:trHeight w:val="320"/>
        </w:trPr>
        <w:tc>
          <w:tcPr>
            <w:tcW w:w="1913" w:type="dxa"/>
            <w:tcBorders>
              <w:top w:val="nil"/>
              <w:left w:val="nil"/>
              <w:bottom w:val="nil"/>
              <w:right w:val="nil"/>
            </w:tcBorders>
            <w:shd w:val="clear" w:color="B4C6E7" w:fill="B4C6E7"/>
            <w:noWrap/>
            <w:vAlign w:val="bottom"/>
            <w:hideMark/>
          </w:tcPr>
          <w:p w14:paraId="5A7CECF4" w14:textId="77777777" w:rsidR="00AA2A52" w:rsidRPr="00631A92" w:rsidRDefault="00AA2A52" w:rsidP="00AA2A52">
            <w:pPr>
              <w:spacing w:after="0" w:line="240" w:lineRule="auto"/>
              <w:rPr>
                <w:rFonts w:eastAsia="Times New Roman"/>
                <w:color w:val="000000"/>
                <w:szCs w:val="24"/>
                <w:lang w:val="en-CA" w:eastAsia="en-CA"/>
              </w:rPr>
            </w:pPr>
            <w:r w:rsidRPr="00631A92">
              <w:rPr>
                <w:rFonts w:eastAsia="Times New Roman"/>
                <w:color w:val="000000"/>
                <w:szCs w:val="24"/>
                <w:lang w:val="en-CA" w:eastAsia="en-CA"/>
              </w:rPr>
              <w:t>Kedgwick</w:t>
            </w:r>
          </w:p>
        </w:tc>
        <w:tc>
          <w:tcPr>
            <w:tcW w:w="1268" w:type="dxa"/>
            <w:tcBorders>
              <w:top w:val="nil"/>
              <w:left w:val="single" w:sz="4" w:space="0" w:color="FFFFFF"/>
              <w:bottom w:val="nil"/>
              <w:right w:val="nil"/>
            </w:tcBorders>
            <w:shd w:val="clear" w:color="B4C6E7" w:fill="B4C6E7"/>
            <w:noWrap/>
            <w:vAlign w:val="bottom"/>
            <w:hideMark/>
          </w:tcPr>
          <w:p w14:paraId="059B26C9" w14:textId="77777777" w:rsidR="00AA2A52" w:rsidRPr="00631A92" w:rsidRDefault="00AA2A52" w:rsidP="00AA2A52">
            <w:pPr>
              <w:spacing w:after="0" w:line="240" w:lineRule="auto"/>
              <w:jc w:val="right"/>
              <w:rPr>
                <w:rFonts w:eastAsia="Times New Roman"/>
                <w:color w:val="000000"/>
                <w:szCs w:val="24"/>
                <w:lang w:val="en-CA" w:eastAsia="en-CA"/>
              </w:rPr>
            </w:pPr>
            <w:r w:rsidRPr="00631A92">
              <w:rPr>
                <w:rFonts w:eastAsia="Times New Roman"/>
                <w:color w:val="000000"/>
                <w:szCs w:val="24"/>
                <w:lang w:val="en-CA" w:eastAsia="en-CA"/>
              </w:rPr>
              <w:t>N/A</w:t>
            </w:r>
          </w:p>
        </w:tc>
        <w:tc>
          <w:tcPr>
            <w:tcW w:w="1544" w:type="dxa"/>
            <w:tcBorders>
              <w:top w:val="nil"/>
              <w:left w:val="single" w:sz="4" w:space="0" w:color="FFFFFF"/>
              <w:bottom w:val="nil"/>
              <w:right w:val="nil"/>
            </w:tcBorders>
            <w:shd w:val="clear" w:color="B4C6E7" w:fill="B4C6E7"/>
            <w:noWrap/>
            <w:vAlign w:val="bottom"/>
            <w:hideMark/>
          </w:tcPr>
          <w:p w14:paraId="2C2B8DD7" w14:textId="77777777" w:rsidR="00AA2A52" w:rsidRPr="00631A92" w:rsidRDefault="00AA2A52" w:rsidP="00AA2A52">
            <w:pPr>
              <w:spacing w:after="0" w:line="240" w:lineRule="auto"/>
              <w:jc w:val="right"/>
              <w:rPr>
                <w:rFonts w:eastAsia="Times New Roman"/>
                <w:color w:val="000000"/>
                <w:szCs w:val="24"/>
                <w:lang w:val="en-CA" w:eastAsia="en-CA"/>
              </w:rPr>
            </w:pPr>
            <w:r w:rsidRPr="00631A92">
              <w:rPr>
                <w:rFonts w:eastAsia="Times New Roman"/>
                <w:color w:val="000000"/>
                <w:szCs w:val="24"/>
                <w:lang w:val="en-CA" w:eastAsia="en-CA"/>
              </w:rPr>
              <w:t>2 Acclaimed</w:t>
            </w:r>
          </w:p>
        </w:tc>
        <w:tc>
          <w:tcPr>
            <w:tcW w:w="1268" w:type="dxa"/>
            <w:tcBorders>
              <w:top w:val="nil"/>
              <w:left w:val="single" w:sz="4" w:space="0" w:color="FFFFFF"/>
              <w:bottom w:val="nil"/>
              <w:right w:val="nil"/>
            </w:tcBorders>
            <w:shd w:val="clear" w:color="B4C6E7" w:fill="B4C6E7"/>
            <w:noWrap/>
            <w:vAlign w:val="bottom"/>
            <w:hideMark/>
          </w:tcPr>
          <w:p w14:paraId="1DED3A03" w14:textId="77777777" w:rsidR="00AA2A52" w:rsidRPr="00631A92" w:rsidRDefault="00AA2A52" w:rsidP="00AA2A52">
            <w:pPr>
              <w:spacing w:after="0" w:line="240" w:lineRule="auto"/>
              <w:jc w:val="right"/>
              <w:rPr>
                <w:rFonts w:eastAsia="Times New Roman"/>
                <w:color w:val="000000"/>
                <w:szCs w:val="24"/>
                <w:lang w:val="en-CA" w:eastAsia="en-CA"/>
              </w:rPr>
            </w:pPr>
            <w:r w:rsidRPr="00631A92">
              <w:rPr>
                <w:rFonts w:eastAsia="Times New Roman"/>
                <w:color w:val="000000"/>
                <w:szCs w:val="24"/>
                <w:lang w:val="en-CA" w:eastAsia="en-CA"/>
              </w:rPr>
              <w:t>N/A</w:t>
            </w:r>
          </w:p>
        </w:tc>
        <w:tc>
          <w:tcPr>
            <w:tcW w:w="1363" w:type="dxa"/>
            <w:tcBorders>
              <w:top w:val="nil"/>
              <w:left w:val="single" w:sz="4" w:space="0" w:color="FFFFFF"/>
              <w:bottom w:val="nil"/>
              <w:right w:val="nil"/>
            </w:tcBorders>
            <w:shd w:val="clear" w:color="B4C6E7" w:fill="B4C6E7"/>
            <w:noWrap/>
            <w:vAlign w:val="bottom"/>
            <w:hideMark/>
          </w:tcPr>
          <w:p w14:paraId="30D754D1" w14:textId="77777777" w:rsidR="00AA2A52" w:rsidRPr="00631A92" w:rsidRDefault="00AA2A52" w:rsidP="00AA2A52">
            <w:pPr>
              <w:spacing w:after="0" w:line="240" w:lineRule="auto"/>
              <w:jc w:val="right"/>
              <w:rPr>
                <w:rFonts w:eastAsia="Times New Roman"/>
                <w:color w:val="000000"/>
                <w:szCs w:val="24"/>
                <w:lang w:val="en-CA" w:eastAsia="en-CA"/>
              </w:rPr>
            </w:pPr>
            <w:r w:rsidRPr="00631A92">
              <w:rPr>
                <w:rFonts w:eastAsia="Times New Roman"/>
                <w:color w:val="000000"/>
                <w:szCs w:val="24"/>
                <w:lang w:val="en-CA" w:eastAsia="en-CA"/>
              </w:rPr>
              <w:t>Acclaimed</w:t>
            </w:r>
          </w:p>
        </w:tc>
      </w:tr>
      <w:tr w:rsidR="00AA2A52" w:rsidRPr="00631A92" w14:paraId="101334BF" w14:textId="77777777" w:rsidTr="00AA2A52">
        <w:trPr>
          <w:trHeight w:val="310"/>
        </w:trPr>
        <w:tc>
          <w:tcPr>
            <w:tcW w:w="1913" w:type="dxa"/>
            <w:tcBorders>
              <w:top w:val="single" w:sz="4" w:space="0" w:color="FFFFFF"/>
              <w:left w:val="nil"/>
              <w:bottom w:val="nil"/>
              <w:right w:val="nil"/>
            </w:tcBorders>
            <w:shd w:val="clear" w:color="D9E1F2" w:fill="D9E1F2"/>
            <w:noWrap/>
            <w:vAlign w:val="bottom"/>
            <w:hideMark/>
          </w:tcPr>
          <w:p w14:paraId="0273F481" w14:textId="77777777" w:rsidR="00AA2A52" w:rsidRPr="00631A92" w:rsidRDefault="00AA2A52" w:rsidP="00AA2A52">
            <w:pPr>
              <w:spacing w:after="0" w:line="240" w:lineRule="auto"/>
              <w:rPr>
                <w:rFonts w:eastAsia="Times New Roman"/>
                <w:color w:val="000000"/>
                <w:szCs w:val="24"/>
                <w:lang w:val="en-CA" w:eastAsia="en-CA"/>
              </w:rPr>
            </w:pPr>
            <w:r w:rsidRPr="00631A92">
              <w:rPr>
                <w:rFonts w:eastAsia="Times New Roman"/>
                <w:color w:val="000000"/>
                <w:szCs w:val="24"/>
                <w:lang w:val="en-CA" w:eastAsia="en-CA"/>
              </w:rPr>
              <w:t>Saint-Quentin</w:t>
            </w:r>
          </w:p>
        </w:tc>
        <w:tc>
          <w:tcPr>
            <w:tcW w:w="1268" w:type="dxa"/>
            <w:tcBorders>
              <w:top w:val="single" w:sz="4" w:space="0" w:color="FFFFFF"/>
              <w:left w:val="single" w:sz="4" w:space="0" w:color="FFFFFF"/>
              <w:bottom w:val="nil"/>
              <w:right w:val="nil"/>
            </w:tcBorders>
            <w:shd w:val="clear" w:color="D9E1F2" w:fill="D9E1F2"/>
            <w:noWrap/>
            <w:vAlign w:val="bottom"/>
            <w:hideMark/>
          </w:tcPr>
          <w:p w14:paraId="3577BAE0" w14:textId="77777777" w:rsidR="00AA2A52" w:rsidRPr="00631A92" w:rsidRDefault="00AA2A52" w:rsidP="00AA2A52">
            <w:pPr>
              <w:spacing w:after="0" w:line="240" w:lineRule="auto"/>
              <w:jc w:val="right"/>
              <w:rPr>
                <w:rFonts w:eastAsia="Times New Roman"/>
                <w:color w:val="000000"/>
                <w:szCs w:val="24"/>
                <w:lang w:val="en-CA" w:eastAsia="en-CA"/>
              </w:rPr>
            </w:pPr>
            <w:r w:rsidRPr="00631A92">
              <w:rPr>
                <w:rFonts w:eastAsia="Times New Roman"/>
                <w:color w:val="000000"/>
                <w:szCs w:val="24"/>
                <w:lang w:val="en-CA" w:eastAsia="en-CA"/>
              </w:rPr>
              <w:t>N/A</w:t>
            </w:r>
          </w:p>
        </w:tc>
        <w:tc>
          <w:tcPr>
            <w:tcW w:w="1544" w:type="dxa"/>
            <w:tcBorders>
              <w:top w:val="single" w:sz="4" w:space="0" w:color="FFFFFF"/>
              <w:left w:val="single" w:sz="4" w:space="0" w:color="FFFFFF"/>
              <w:bottom w:val="nil"/>
              <w:right w:val="nil"/>
            </w:tcBorders>
            <w:shd w:val="clear" w:color="D9E1F2" w:fill="D9E1F2"/>
            <w:noWrap/>
            <w:vAlign w:val="bottom"/>
            <w:hideMark/>
          </w:tcPr>
          <w:p w14:paraId="4D48FE31" w14:textId="77777777" w:rsidR="00AA2A52" w:rsidRPr="00631A92" w:rsidRDefault="00AA2A52" w:rsidP="00AA2A52">
            <w:pPr>
              <w:spacing w:after="0" w:line="240" w:lineRule="auto"/>
              <w:jc w:val="right"/>
              <w:rPr>
                <w:rFonts w:eastAsia="Times New Roman"/>
                <w:color w:val="000000"/>
                <w:szCs w:val="24"/>
                <w:lang w:val="en-CA" w:eastAsia="en-CA"/>
              </w:rPr>
            </w:pPr>
            <w:r w:rsidRPr="00631A92">
              <w:rPr>
                <w:rFonts w:eastAsia="Times New Roman"/>
                <w:color w:val="000000"/>
                <w:szCs w:val="24"/>
                <w:lang w:val="en-CA" w:eastAsia="en-CA"/>
              </w:rPr>
              <w:t>N/A</w:t>
            </w:r>
          </w:p>
        </w:tc>
        <w:tc>
          <w:tcPr>
            <w:tcW w:w="1268" w:type="dxa"/>
            <w:tcBorders>
              <w:top w:val="single" w:sz="4" w:space="0" w:color="FFFFFF"/>
              <w:left w:val="single" w:sz="4" w:space="0" w:color="FFFFFF"/>
              <w:bottom w:val="nil"/>
              <w:right w:val="nil"/>
            </w:tcBorders>
            <w:shd w:val="clear" w:color="D9E1F2" w:fill="D9E1F2"/>
            <w:noWrap/>
            <w:vAlign w:val="bottom"/>
            <w:hideMark/>
          </w:tcPr>
          <w:p w14:paraId="044C6DFA" w14:textId="77777777" w:rsidR="00AA2A52" w:rsidRPr="00631A92" w:rsidRDefault="00AA2A52" w:rsidP="00AA2A52">
            <w:pPr>
              <w:spacing w:after="0" w:line="240" w:lineRule="auto"/>
              <w:jc w:val="right"/>
              <w:rPr>
                <w:rFonts w:eastAsia="Times New Roman"/>
                <w:color w:val="000000"/>
                <w:szCs w:val="24"/>
                <w:lang w:val="en-CA" w:eastAsia="en-CA"/>
              </w:rPr>
            </w:pPr>
            <w:r w:rsidRPr="00631A92">
              <w:rPr>
                <w:rFonts w:eastAsia="Times New Roman"/>
                <w:color w:val="000000"/>
                <w:szCs w:val="24"/>
                <w:lang w:val="en-CA" w:eastAsia="en-CA"/>
              </w:rPr>
              <w:t>N/A</w:t>
            </w:r>
          </w:p>
        </w:tc>
        <w:tc>
          <w:tcPr>
            <w:tcW w:w="1363" w:type="dxa"/>
            <w:tcBorders>
              <w:top w:val="single" w:sz="4" w:space="0" w:color="FFFFFF"/>
              <w:left w:val="single" w:sz="4" w:space="0" w:color="FFFFFF"/>
              <w:bottom w:val="nil"/>
              <w:right w:val="nil"/>
            </w:tcBorders>
            <w:shd w:val="clear" w:color="D9E1F2" w:fill="D9E1F2"/>
            <w:noWrap/>
            <w:vAlign w:val="bottom"/>
            <w:hideMark/>
          </w:tcPr>
          <w:p w14:paraId="0323D0F0" w14:textId="77777777" w:rsidR="00AA2A52" w:rsidRPr="00631A92" w:rsidRDefault="00AA2A52" w:rsidP="00AA2A52">
            <w:pPr>
              <w:spacing w:after="0" w:line="240" w:lineRule="auto"/>
              <w:jc w:val="right"/>
              <w:rPr>
                <w:rFonts w:eastAsia="Times New Roman"/>
                <w:color w:val="000000"/>
                <w:szCs w:val="24"/>
                <w:lang w:val="en-CA" w:eastAsia="en-CA"/>
              </w:rPr>
            </w:pPr>
            <w:r w:rsidRPr="00631A92">
              <w:rPr>
                <w:rFonts w:eastAsia="Times New Roman"/>
                <w:color w:val="000000"/>
                <w:szCs w:val="24"/>
                <w:lang w:val="en-CA" w:eastAsia="en-CA"/>
              </w:rPr>
              <w:t>N/A</w:t>
            </w:r>
          </w:p>
        </w:tc>
      </w:tr>
      <w:tr w:rsidR="00AA2A52" w:rsidRPr="00631A92" w14:paraId="365887FE" w14:textId="77777777" w:rsidTr="00AA2A52">
        <w:trPr>
          <w:trHeight w:val="290"/>
        </w:trPr>
        <w:tc>
          <w:tcPr>
            <w:tcW w:w="7356" w:type="dxa"/>
            <w:gridSpan w:val="5"/>
            <w:tcBorders>
              <w:top w:val="nil"/>
              <w:left w:val="nil"/>
              <w:bottom w:val="nil"/>
              <w:right w:val="nil"/>
            </w:tcBorders>
            <w:shd w:val="clear" w:color="auto" w:fill="auto"/>
            <w:noWrap/>
            <w:vAlign w:val="bottom"/>
            <w:hideMark/>
          </w:tcPr>
          <w:p w14:paraId="4BDB47A6" w14:textId="77777777" w:rsidR="00AA2A52" w:rsidRPr="00631A92" w:rsidRDefault="00AA2A52" w:rsidP="00AA2A52">
            <w:pPr>
              <w:spacing w:after="0" w:line="240" w:lineRule="auto"/>
              <w:rPr>
                <w:rFonts w:eastAsia="Times New Roman"/>
                <w:color w:val="000000"/>
                <w:sz w:val="20"/>
                <w:szCs w:val="20"/>
                <w:lang w:val="en-CA" w:eastAsia="en-CA"/>
              </w:rPr>
            </w:pPr>
            <w:r w:rsidRPr="00631A92">
              <w:rPr>
                <w:rFonts w:eastAsia="Times New Roman"/>
                <w:color w:val="000000"/>
                <w:sz w:val="20"/>
                <w:szCs w:val="20"/>
                <w:lang w:val="en-CA" w:eastAsia="en-CA"/>
              </w:rPr>
              <w:t>1. Elections NB</w:t>
            </w:r>
          </w:p>
        </w:tc>
      </w:tr>
    </w:tbl>
    <w:p w14:paraId="3BBF240D" w14:textId="726647A4" w:rsidR="005C799D" w:rsidRDefault="005C799D" w:rsidP="00B04C93">
      <w:pPr>
        <w:jc w:val="both"/>
        <w:rPr>
          <w:rFonts w:eastAsia="Times New Roman"/>
          <w:color w:val="000000" w:themeColor="text1"/>
          <w:szCs w:val="24"/>
        </w:rPr>
      </w:pPr>
      <w:r>
        <w:rPr>
          <w:rFonts w:eastAsia="Times New Roman"/>
          <w:color w:val="000000" w:themeColor="text1"/>
          <w:szCs w:val="24"/>
        </w:rPr>
        <w:t>Saint-Quentin, on the other hand, represents a common trend across</w:t>
      </w:r>
      <w:r w:rsidR="00313389">
        <w:rPr>
          <w:rFonts w:eastAsia="Times New Roman"/>
          <w:color w:val="000000" w:themeColor="text1"/>
          <w:szCs w:val="24"/>
        </w:rPr>
        <w:t xml:space="preserve"> the north of the province. On average, northern communities’ voter turnout rates are higher than the provincial average – when there are enough candidates to actually contest an election. In the 2012 quadrennial municipal election</w:t>
      </w:r>
      <w:r w:rsidR="0094032D">
        <w:rPr>
          <w:rFonts w:eastAsia="Times New Roman"/>
          <w:color w:val="000000" w:themeColor="text1"/>
          <w:szCs w:val="24"/>
        </w:rPr>
        <w:t>, Saint-Quentin reported a turnout rate of 61%</w:t>
      </w:r>
      <w:r w:rsidR="008E5BF4">
        <w:rPr>
          <w:rFonts w:eastAsia="Times New Roman"/>
          <w:color w:val="000000" w:themeColor="text1"/>
          <w:szCs w:val="24"/>
        </w:rPr>
        <w:t xml:space="preserve"> or 15 points higher than that cycle’s overall average</w:t>
      </w:r>
      <w:r w:rsidR="005C78EF">
        <w:rPr>
          <w:rFonts w:eastAsia="Times New Roman"/>
          <w:color w:val="000000" w:themeColor="text1"/>
          <w:szCs w:val="24"/>
        </w:rPr>
        <w:t>. However, one candidate withdrew from the election. In 2016, there were not enough candidates to contest the election, so the councillors were elected by acclamation</w:t>
      </w:r>
      <w:r w:rsidR="007E5CE4">
        <w:rPr>
          <w:rFonts w:eastAsia="Times New Roman"/>
          <w:color w:val="000000" w:themeColor="text1"/>
          <w:szCs w:val="24"/>
        </w:rPr>
        <w:t xml:space="preserve">, but even then only 4 of the 5 seats were actually filled. Rather than hold a byelection, the municipality chose to eliminate the position, reducing the size of the council to 4. Taken together, these two election cycles </w:t>
      </w:r>
      <w:r w:rsidR="00263EA3">
        <w:rPr>
          <w:rFonts w:eastAsia="Times New Roman"/>
          <w:color w:val="000000" w:themeColor="text1"/>
          <w:szCs w:val="24"/>
        </w:rPr>
        <w:t>clarify the problem facing Saint-Quentin and the north of the province more generally: voters are engaged and are willing to turn out in high numbers, but there is simply not a big enough pool of candidates to sustain healthy democratic institutions.</w:t>
      </w:r>
    </w:p>
    <w:p w14:paraId="457F15EE" w14:textId="162704B3" w:rsidR="00226288" w:rsidRPr="00226288" w:rsidRDefault="001A4616" w:rsidP="00B04C93">
      <w:pPr>
        <w:jc w:val="both"/>
        <w:rPr>
          <w:rFonts w:eastAsia="Times New Roman"/>
          <w:color w:val="000000" w:themeColor="text1"/>
          <w:szCs w:val="24"/>
        </w:rPr>
      </w:pPr>
      <w:r>
        <w:rPr>
          <w:rFonts w:eastAsia="Times New Roman"/>
          <w:color w:val="000000" w:themeColor="text1"/>
          <w:szCs w:val="24"/>
        </w:rPr>
        <w:t xml:space="preserve">The new framework we propose would address this issue by expanding the demographic base available to each municipality. </w:t>
      </w:r>
      <w:r w:rsidR="004576A5">
        <w:rPr>
          <w:rFonts w:eastAsia="Times New Roman"/>
          <w:color w:val="000000" w:themeColor="text1"/>
          <w:szCs w:val="24"/>
        </w:rPr>
        <w:t xml:space="preserve">By combining the </w:t>
      </w:r>
      <w:r w:rsidR="005238F9">
        <w:rPr>
          <w:rFonts w:eastAsia="Times New Roman"/>
          <w:color w:val="000000" w:themeColor="text1"/>
          <w:szCs w:val="24"/>
        </w:rPr>
        <w:t xml:space="preserve">area’s municipalities and incorporating </w:t>
      </w:r>
      <w:r w:rsidR="0089636A">
        <w:rPr>
          <w:rFonts w:eastAsia="Times New Roman"/>
          <w:color w:val="000000" w:themeColor="text1"/>
          <w:szCs w:val="24"/>
        </w:rPr>
        <w:t>the</w:t>
      </w:r>
      <w:r w:rsidR="005238F9">
        <w:rPr>
          <w:rFonts w:eastAsia="Times New Roman"/>
          <w:color w:val="000000" w:themeColor="text1"/>
          <w:szCs w:val="24"/>
        </w:rPr>
        <w:t xml:space="preserve">  various LSDs, </w:t>
      </w:r>
      <w:r w:rsidR="00B27530">
        <w:rPr>
          <w:rFonts w:eastAsia="Times New Roman"/>
          <w:color w:val="000000" w:themeColor="text1"/>
          <w:szCs w:val="24"/>
        </w:rPr>
        <w:t>Entity 6</w:t>
      </w:r>
      <w:r w:rsidR="000A372D">
        <w:rPr>
          <w:rFonts w:eastAsia="Times New Roman"/>
          <w:color w:val="000000" w:themeColor="text1"/>
          <w:szCs w:val="24"/>
        </w:rPr>
        <w:t xml:space="preserve"> will both enfranchise </w:t>
      </w:r>
      <w:r w:rsidR="00544386">
        <w:rPr>
          <w:rFonts w:eastAsia="Times New Roman"/>
          <w:color w:val="000000" w:themeColor="text1"/>
          <w:szCs w:val="24"/>
        </w:rPr>
        <w:t xml:space="preserve">the </w:t>
      </w:r>
      <w:r w:rsidR="00A45579">
        <w:rPr>
          <w:rFonts w:eastAsia="Times New Roman"/>
          <w:color w:val="000000" w:themeColor="text1"/>
          <w:szCs w:val="24"/>
        </w:rPr>
        <w:t>2200</w:t>
      </w:r>
      <w:r w:rsidR="00544386">
        <w:rPr>
          <w:rFonts w:eastAsia="Times New Roman"/>
          <w:color w:val="000000" w:themeColor="text1"/>
          <w:szCs w:val="24"/>
        </w:rPr>
        <w:t xml:space="preserve"> inhabitants of currently unincorporated land</w:t>
      </w:r>
      <w:r w:rsidR="000A372D">
        <w:rPr>
          <w:rFonts w:eastAsia="Times New Roman"/>
          <w:color w:val="000000" w:themeColor="text1"/>
          <w:szCs w:val="24"/>
        </w:rPr>
        <w:t xml:space="preserve"> </w:t>
      </w:r>
      <w:r w:rsidR="0089636A">
        <w:rPr>
          <w:rFonts w:eastAsia="Times New Roman"/>
          <w:color w:val="000000" w:themeColor="text1"/>
          <w:szCs w:val="24"/>
        </w:rPr>
        <w:t xml:space="preserve">and provide a new pool of willing and capable potential candidates. </w:t>
      </w:r>
      <w:r w:rsidR="008C5E9C">
        <w:rPr>
          <w:rFonts w:eastAsia="Times New Roman"/>
          <w:color w:val="000000" w:themeColor="text1"/>
          <w:szCs w:val="24"/>
        </w:rPr>
        <w:t>A similar outcome has been witnessed in the Village of Eel River Crossing. In 2014, a number of contiguous LSDs voted to join the nearby village</w:t>
      </w:r>
      <w:r w:rsidR="006F202E">
        <w:rPr>
          <w:rFonts w:eastAsia="Times New Roman"/>
          <w:color w:val="000000" w:themeColor="text1"/>
          <w:szCs w:val="24"/>
        </w:rPr>
        <w:t xml:space="preserve">, resulting in a 2015 election which was highly contested. </w:t>
      </w:r>
      <w:r w:rsidR="00226288" w:rsidRPr="00226288">
        <w:rPr>
          <w:rFonts w:eastAsia="Times New Roman"/>
          <w:color w:val="000000" w:themeColor="text1"/>
          <w:szCs w:val="24"/>
        </w:rPr>
        <w:t>Eel River Crossing’s first election s</w:t>
      </w:r>
      <w:r w:rsidR="006F202E">
        <w:rPr>
          <w:rFonts w:eastAsia="Times New Roman"/>
          <w:color w:val="000000" w:themeColor="text1"/>
          <w:szCs w:val="24"/>
        </w:rPr>
        <w:t xml:space="preserve">aw 8 </w:t>
      </w:r>
      <w:r w:rsidR="00226288" w:rsidRPr="00226288">
        <w:rPr>
          <w:rFonts w:eastAsia="Times New Roman"/>
          <w:color w:val="000000" w:themeColor="text1"/>
          <w:szCs w:val="24"/>
        </w:rPr>
        <w:t xml:space="preserve">candidates compete for 4 at-large councillor positions. Of these </w:t>
      </w:r>
      <w:r w:rsidR="006E18B2">
        <w:rPr>
          <w:rFonts w:eastAsia="Times New Roman"/>
          <w:color w:val="000000" w:themeColor="text1"/>
          <w:szCs w:val="24"/>
        </w:rPr>
        <w:t>8</w:t>
      </w:r>
      <w:r w:rsidR="00226288" w:rsidRPr="00226288">
        <w:rPr>
          <w:rFonts w:eastAsia="Times New Roman"/>
          <w:color w:val="000000" w:themeColor="text1"/>
          <w:szCs w:val="24"/>
        </w:rPr>
        <w:t xml:space="preserve"> candidates, 4 were from previously unincorporated areas. </w:t>
      </w:r>
    </w:p>
    <w:p w14:paraId="3EC3BF32" w14:textId="77777777" w:rsidR="00226288" w:rsidRPr="00226288" w:rsidRDefault="00226288" w:rsidP="00226288">
      <w:pPr>
        <w:rPr>
          <w:rFonts w:eastAsia="Times New Roman"/>
          <w:b/>
          <w:bCs/>
          <w:szCs w:val="24"/>
        </w:rPr>
      </w:pPr>
      <w:r w:rsidRPr="00226288">
        <w:rPr>
          <w:rFonts w:eastAsia="Times New Roman"/>
          <w:b/>
          <w:bCs/>
          <w:szCs w:val="24"/>
        </w:rPr>
        <w:t>Financial Base</w:t>
      </w:r>
    </w:p>
    <w:p w14:paraId="768AB3F5" w14:textId="188FA575" w:rsidR="00226288" w:rsidRPr="00226288" w:rsidRDefault="00B27530" w:rsidP="00B04C93">
      <w:pPr>
        <w:jc w:val="both"/>
      </w:pPr>
      <w:r>
        <w:t>Entity 6</w:t>
      </w:r>
      <w:r w:rsidR="00226288"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4226B331" w14:textId="1820DFC9" w:rsidR="00226288" w:rsidRPr="004828D9" w:rsidRDefault="00226288" w:rsidP="004828D9">
      <w:pPr>
        <w:rPr>
          <w:rFonts w:eastAsia="Times New Roman"/>
          <w:color w:val="000000"/>
          <w:sz w:val="20"/>
          <w:szCs w:val="20"/>
          <w:lang w:val="en-CA" w:eastAsia="en-CA"/>
        </w:rPr>
      </w:pPr>
      <w:r w:rsidRPr="00226288">
        <w:lastRenderedPageBreak/>
        <w:t xml:space="preserve">Because its population is below 10000, </w:t>
      </w:r>
      <w:r w:rsidR="00B27530">
        <w:t>Entity 6</w:t>
      </w:r>
      <w:r w:rsidRPr="00226288">
        <w:t xml:space="preserve"> would qualify as a ‘Group A’ municipality</w:t>
      </w:r>
      <w:r w:rsidR="00B86345">
        <w:t>, but its assessment base per capita would be significantly lower than the group average.</w:t>
      </w:r>
      <w:r w:rsidRPr="00226288">
        <w:t xml:space="preserve"> Accordingly, the estimated annual revenue for </w:t>
      </w:r>
      <w:r w:rsidR="00B27530">
        <w:t>Entity 6</w:t>
      </w:r>
      <w:r w:rsidRPr="00226288">
        <w:t xml:space="preserve"> from equalization payments </w:t>
      </w:r>
      <w:r w:rsidRPr="00B24A1F">
        <w:rPr>
          <w:szCs w:val="24"/>
        </w:rPr>
        <w:t xml:space="preserve">would be </w:t>
      </w:r>
      <w:r w:rsidR="00D21EC8" w:rsidRPr="00B24A1F">
        <w:rPr>
          <w:rFonts w:eastAsia="Times New Roman"/>
          <w:color w:val="000000"/>
          <w:szCs w:val="24"/>
          <w:lang w:val="en-CA" w:eastAsia="en-CA"/>
        </w:rPr>
        <w:t>$537,479</w:t>
      </w:r>
      <w:r w:rsidR="000726CD">
        <w:t xml:space="preserve"> annually. </w:t>
      </w:r>
      <w:r w:rsidR="004828D9">
        <w:t xml:space="preserve">With the tax room transfer from the provincial government to municipal governments included in the proposed new framework, Entity 6’s assessment </w:t>
      </w:r>
      <w:r w:rsidR="004828D9" w:rsidRPr="00AC4426">
        <w:rPr>
          <w:szCs w:val="24"/>
        </w:rPr>
        <w:t xml:space="preserve">base of </w:t>
      </w:r>
      <w:r w:rsidR="004828D9" w:rsidRPr="00AC4426">
        <w:rPr>
          <w:rFonts w:eastAsia="Times New Roman"/>
          <w:color w:val="000000"/>
          <w:szCs w:val="24"/>
          <w:lang w:val="en-CA" w:eastAsia="en-CA"/>
        </w:rPr>
        <w:t>$</w:t>
      </w:r>
      <w:r w:rsidR="00AC4426" w:rsidRPr="00AC4426">
        <w:rPr>
          <w:rFonts w:eastAsia="Times New Roman"/>
          <w:color w:val="000000"/>
          <w:szCs w:val="24"/>
          <w:lang w:val="en-CA" w:eastAsia="en-CA"/>
        </w:rPr>
        <w:t xml:space="preserve">385,385,800 </w:t>
      </w:r>
      <w:r w:rsidR="00876F44">
        <w:rPr>
          <w:szCs w:val="24"/>
        </w:rPr>
        <w:t>would also</w:t>
      </w:r>
      <w:r w:rsidR="004828D9">
        <w:t xml:space="preserve"> be able to yield more revenue than it could </w:t>
      </w:r>
      <w:r w:rsidR="00914F68">
        <w:t>under the current local governance regime</w:t>
      </w:r>
      <w:r w:rsidR="004828D9">
        <w:t>. Equal Opportunity among municipalities remains a priority in the new framework, but the primary guarantor of said equality is now tax warrants rather than equalization payments.</w:t>
      </w:r>
    </w:p>
    <w:p w14:paraId="61B53BEF" w14:textId="71EEA592" w:rsidR="00226288" w:rsidRPr="00226288" w:rsidRDefault="00226288" w:rsidP="00B04C93">
      <w:pPr>
        <w:jc w:val="both"/>
      </w:pPr>
      <w:r w:rsidRPr="00226288">
        <w:t xml:space="preserve">Of course, this tax room transfer does not necessitate that property tax rates will increase by $1.50 per $100 of valuation across </w:t>
      </w:r>
      <w:r w:rsidR="00B27530">
        <w:t>Entity 6</w:t>
      </w:r>
      <w:r w:rsidRPr="00226288">
        <w:t xml:space="preserve">, nor does it indicate that the entire municipality will operate with one uniform property tax rate. </w:t>
      </w:r>
      <w:r w:rsidRPr="00226288">
        <w:rPr>
          <w:rFonts w:eastAsia="Times New Roman"/>
          <w:szCs w:val="24"/>
        </w:rPr>
        <w:t xml:space="preserve">Because </w:t>
      </w:r>
      <w:r w:rsidR="00B27530">
        <w:rPr>
          <w:rFonts w:eastAsia="Times New Roman"/>
          <w:szCs w:val="24"/>
        </w:rPr>
        <w:t>Entity 6</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2"/>
      </w:r>
    </w:p>
    <w:p w14:paraId="00C93790" w14:textId="6630453C" w:rsidR="00226288" w:rsidRPr="00226288" w:rsidRDefault="00226288" w:rsidP="00B04C93">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As the communities within </w:t>
      </w:r>
      <w:r w:rsidR="00B27530">
        <w:t>Entity 6</w:t>
      </w:r>
      <w:r w:rsidRPr="00226288">
        <w:t xml:space="preserve"> move forward together, it is entirely possible that each former local governance entity maintain their own respective property tax regimes, though strict adherence to such a scheme would fail to take advantage of the opportunities offered by their amalgamation. </w:t>
      </w:r>
    </w:p>
    <w:p w14:paraId="42654CD4" w14:textId="0F75A619" w:rsidR="00226288" w:rsidRPr="00226288" w:rsidRDefault="00226288" w:rsidP="00B04C93">
      <w:pPr>
        <w:jc w:val="both"/>
      </w:pPr>
      <w:r w:rsidRPr="00226288">
        <w:t xml:space="preserve">Overall, then, </w:t>
      </w:r>
      <w:r w:rsidR="00B27530">
        <w:t>Entity 6</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77777777" w:rsidR="00226288" w:rsidRPr="00226288" w:rsidRDefault="00226288" w:rsidP="00226288">
      <w:pPr>
        <w:rPr>
          <w:b/>
          <w:bCs/>
        </w:rPr>
      </w:pPr>
      <w:r w:rsidRPr="00226288">
        <w:rPr>
          <w:b/>
          <w:bCs/>
        </w:rPr>
        <w:t>Division of Municipal and Provincial Responsibilities</w:t>
      </w:r>
    </w:p>
    <w:p w14:paraId="3936984A" w14:textId="3AEF145F" w:rsidR="00226288" w:rsidRPr="00226288" w:rsidRDefault="00226288" w:rsidP="00B04C93">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B27530">
        <w:rPr>
          <w:rFonts w:eastAsia="Times New Roman"/>
          <w:szCs w:val="24"/>
        </w:rPr>
        <w:t>Entity 6</w:t>
      </w:r>
      <w:r w:rsidRPr="00226288">
        <w:rPr>
          <w:rFonts w:eastAsia="Times New Roman"/>
          <w:szCs w:val="24"/>
        </w:rPr>
        <w:t xml:space="preserve">, and the tax rates of the entity would reflect this level of service. </w:t>
      </w:r>
    </w:p>
    <w:p w14:paraId="7E7D20ED" w14:textId="77777777" w:rsidR="00226288" w:rsidRPr="00226288" w:rsidRDefault="00226288" w:rsidP="00B04C93">
      <w:pPr>
        <w:jc w:val="both"/>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w:t>
      </w:r>
      <w:r w:rsidRPr="00226288">
        <w:rPr>
          <w:rFonts w:eastAsia="Times New Roman"/>
          <w:szCs w:val="24"/>
        </w:rPr>
        <w:lastRenderedPageBreak/>
        <w:t xml:space="preserve">Collaboration on these issues will further reduce cost for services, allowing property tax rates to remain at a reasonable rate. </w:t>
      </w:r>
    </w:p>
    <w:p w14:paraId="21652055" w14:textId="205DD598" w:rsidR="00226288" w:rsidRPr="00226288" w:rsidRDefault="00B27530" w:rsidP="00B04C93">
      <w:pPr>
        <w:jc w:val="both"/>
        <w:rPr>
          <w:rFonts w:eastAsia="Times New Roman"/>
          <w:szCs w:val="24"/>
        </w:rPr>
      </w:pPr>
      <w:r>
        <w:rPr>
          <w:rFonts w:eastAsia="Times New Roman"/>
          <w:szCs w:val="24"/>
        </w:rPr>
        <w:t>Entity 6</w:t>
      </w:r>
      <w:r w:rsidR="00226288" w:rsidRPr="00226288">
        <w:rPr>
          <w:rFonts w:eastAsia="Times New Roman"/>
          <w:szCs w:val="24"/>
        </w:rPr>
        <w:t xml:space="preserve"> would belong to RSD </w:t>
      </w:r>
      <w:r w:rsidR="00215178">
        <w:rPr>
          <w:rFonts w:eastAsia="Times New Roman"/>
          <w:szCs w:val="24"/>
        </w:rPr>
        <w:t>1</w:t>
      </w:r>
      <w:r w:rsidR="00226288" w:rsidRPr="00226288">
        <w:rPr>
          <w:rFonts w:eastAsia="Times New Roman"/>
          <w:szCs w:val="24"/>
        </w:rPr>
        <w:t xml:space="preserve"> along with its neighbours Entities </w:t>
      </w:r>
      <w:r w:rsidR="009534A1">
        <w:rPr>
          <w:rFonts w:eastAsia="Times New Roman"/>
          <w:szCs w:val="24"/>
        </w:rPr>
        <w:t>1</w:t>
      </w:r>
      <w:r w:rsidR="00400690">
        <w:rPr>
          <w:rFonts w:eastAsia="Times New Roman"/>
          <w:szCs w:val="24"/>
        </w:rPr>
        <w:t xml:space="preserve"> to</w:t>
      </w:r>
      <w:r w:rsidR="003D3F4B">
        <w:rPr>
          <w:rFonts w:eastAsia="Times New Roman"/>
          <w:szCs w:val="24"/>
        </w:rPr>
        <w:t xml:space="preserve"> </w:t>
      </w:r>
      <w:r w:rsidR="009534A1">
        <w:rPr>
          <w:rFonts w:eastAsia="Times New Roman"/>
          <w:szCs w:val="24"/>
        </w:rPr>
        <w:t>5</w:t>
      </w:r>
      <w:r w:rsidR="008E30F8">
        <w:rPr>
          <w:rFonts w:eastAsia="Times New Roman"/>
          <w:szCs w:val="24"/>
        </w:rPr>
        <w:t>, covering all of Madawaska</w:t>
      </w:r>
      <w:r w:rsidR="00D746A4">
        <w:rPr>
          <w:rFonts w:eastAsia="Times New Roman"/>
          <w:szCs w:val="24"/>
        </w:rPr>
        <w:t xml:space="preserve"> county and a portion of Restigouche county</w:t>
      </w:r>
      <w:r w:rsidR="00226288" w:rsidRPr="00226288">
        <w:rPr>
          <w:rFonts w:eastAsia="Times New Roman"/>
          <w:szCs w:val="24"/>
        </w:rPr>
        <w:t xml:space="preserve">. As with each municipal entity, RSDs could conceivably be named, but this would be left to each community to determine for itself. All </w:t>
      </w:r>
      <w:r w:rsidR="00FC47CF">
        <w:rPr>
          <w:rFonts w:eastAsia="Times New Roman"/>
          <w:szCs w:val="24"/>
        </w:rPr>
        <w:t>6</w:t>
      </w:r>
      <w:r w:rsidR="00226288" w:rsidRPr="00226288">
        <w:rPr>
          <w:rFonts w:eastAsia="Times New Roman"/>
          <w:szCs w:val="24"/>
        </w:rPr>
        <w:t xml:space="preserve"> entities would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035C75A3" w14:textId="37987EF9" w:rsidR="002F62E8" w:rsidRDefault="00226288" w:rsidP="00B04C93">
      <w:pPr>
        <w:jc w:val="both"/>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C401EC">
        <w:rPr>
          <w:rFonts w:eastAsia="Times New Roman"/>
          <w:szCs w:val="24"/>
        </w:rPr>
        <w:t>The commuting population of RSD 1 is relatively evenly split between those who commute to work within their own community (4</w:t>
      </w:r>
      <w:r w:rsidR="00E41114">
        <w:rPr>
          <w:rFonts w:eastAsia="Times New Roman"/>
          <w:szCs w:val="24"/>
        </w:rPr>
        <w:t xml:space="preserve">6%) and those who commute to a different community within the same </w:t>
      </w:r>
      <w:r w:rsidR="00DA57E7">
        <w:rPr>
          <w:rFonts w:eastAsia="Times New Roman"/>
          <w:szCs w:val="24"/>
        </w:rPr>
        <w:t xml:space="preserve">county or </w:t>
      </w:r>
      <w:r w:rsidR="00E41114">
        <w:rPr>
          <w:rFonts w:eastAsia="Times New Roman"/>
          <w:szCs w:val="24"/>
        </w:rPr>
        <w:t>RSD</w:t>
      </w:r>
      <w:r w:rsidR="00342506">
        <w:rPr>
          <w:rFonts w:eastAsia="Times New Roman"/>
          <w:szCs w:val="24"/>
        </w:rPr>
        <w:t xml:space="preserve"> (40%). It is clear, therefore, that economic hubs such as Edmunston and Grand Falls are important sources of employment for the region as a whole</w:t>
      </w:r>
      <w:r w:rsidR="00A47308">
        <w:rPr>
          <w:rFonts w:eastAsia="Times New Roman"/>
          <w:szCs w:val="24"/>
        </w:rPr>
        <w:t xml:space="preserve">, and such economic interconnection </w:t>
      </w:r>
      <w:r w:rsidR="002F62E8">
        <w:rPr>
          <w:rFonts w:eastAsia="Times New Roman"/>
          <w:szCs w:val="24"/>
        </w:rPr>
        <w:t xml:space="preserve">requires collaboration in land use planning and economic development policy.  </w:t>
      </w:r>
    </w:p>
    <w:p w14:paraId="5B5D0B3D" w14:textId="7DA02471" w:rsidR="006C719D" w:rsidRDefault="006C719D" w:rsidP="00B04C93">
      <w:pPr>
        <w:jc w:val="both"/>
        <w:rPr>
          <w:rFonts w:eastAsia="Times New Roman"/>
          <w:szCs w:val="24"/>
        </w:rPr>
      </w:pPr>
      <w:r>
        <w:rPr>
          <w:rFonts w:eastAsia="Times New Roman"/>
          <w:szCs w:val="24"/>
        </w:rPr>
        <w:t xml:space="preserve">Entity 6, however, is far more economically insulated than some of its neighbours. </w:t>
      </w:r>
      <w:r w:rsidR="00AE3796">
        <w:rPr>
          <w:rFonts w:eastAsia="Times New Roman"/>
          <w:szCs w:val="24"/>
        </w:rPr>
        <w:t xml:space="preserve">Given that the communities in the proposed entity are in a different county than </w:t>
      </w:r>
      <w:r w:rsidR="00F534B9">
        <w:rPr>
          <w:rFonts w:eastAsia="Times New Roman"/>
          <w:szCs w:val="24"/>
        </w:rPr>
        <w:t xml:space="preserve">the rest of </w:t>
      </w:r>
      <w:r w:rsidR="002C3552">
        <w:rPr>
          <w:rFonts w:eastAsia="Times New Roman"/>
          <w:szCs w:val="24"/>
        </w:rPr>
        <w:t>RSD</w:t>
      </w:r>
      <w:r w:rsidR="00F534B9">
        <w:rPr>
          <w:rFonts w:eastAsia="Times New Roman"/>
          <w:szCs w:val="24"/>
        </w:rPr>
        <w:t xml:space="preserve"> 1</w:t>
      </w:r>
      <w:r w:rsidR="00AE3796">
        <w:rPr>
          <w:rFonts w:eastAsia="Times New Roman"/>
          <w:szCs w:val="24"/>
        </w:rPr>
        <w:t xml:space="preserve">, </w:t>
      </w:r>
      <w:r w:rsidR="00722C51">
        <w:rPr>
          <w:rFonts w:eastAsia="Times New Roman"/>
          <w:szCs w:val="24"/>
        </w:rPr>
        <w:t xml:space="preserve">rather than looking for </w:t>
      </w:r>
      <w:r w:rsidR="00AF35D4">
        <w:rPr>
          <w:rFonts w:eastAsia="Times New Roman"/>
          <w:szCs w:val="24"/>
        </w:rPr>
        <w:t xml:space="preserve">those commuting to a different community within the same census division to gage the level of economic integration between Entity 6 and the rest of the RSD, </w:t>
      </w:r>
      <w:r w:rsidR="0090316A">
        <w:rPr>
          <w:rFonts w:eastAsia="Times New Roman"/>
          <w:szCs w:val="24"/>
        </w:rPr>
        <w:t xml:space="preserve">we need to look for those commuting outside their own census division. </w:t>
      </w:r>
      <w:r w:rsidR="00F91D75">
        <w:rPr>
          <w:rFonts w:eastAsia="Times New Roman"/>
          <w:szCs w:val="24"/>
        </w:rPr>
        <w:t xml:space="preserve">In the case of Entity 6, this is only about 4% of the population. </w:t>
      </w:r>
      <w:r w:rsidR="00877A83">
        <w:rPr>
          <w:rFonts w:eastAsia="Times New Roman"/>
          <w:szCs w:val="24"/>
        </w:rPr>
        <w:t>The remainder are generally split between those commuting within their own communities and those traveling within the</w:t>
      </w:r>
      <w:r w:rsidR="005A324E">
        <w:rPr>
          <w:rFonts w:eastAsia="Times New Roman"/>
          <w:szCs w:val="24"/>
        </w:rPr>
        <w:t>ir own</w:t>
      </w:r>
      <w:r w:rsidR="00877A83">
        <w:rPr>
          <w:rFonts w:eastAsia="Times New Roman"/>
          <w:szCs w:val="24"/>
        </w:rPr>
        <w:t xml:space="preserve"> census division. </w:t>
      </w:r>
    </w:p>
    <w:p w14:paraId="03A3036D" w14:textId="746698EE" w:rsidR="001010F7" w:rsidRDefault="001010F7" w:rsidP="00B04C93">
      <w:pPr>
        <w:jc w:val="both"/>
        <w:rPr>
          <w:rFonts w:eastAsia="Times New Roman"/>
          <w:szCs w:val="24"/>
        </w:rPr>
      </w:pPr>
      <w:r>
        <w:rPr>
          <w:rFonts w:eastAsia="Times New Roman"/>
          <w:szCs w:val="24"/>
        </w:rPr>
        <w:t xml:space="preserve">However, Entity 6 would benefit from </w:t>
      </w:r>
      <w:r w:rsidR="00D62F71">
        <w:rPr>
          <w:rFonts w:eastAsia="Times New Roman"/>
          <w:szCs w:val="24"/>
        </w:rPr>
        <w:t xml:space="preserve">shared service provision. Given that its financial base will be weaker than its neighbours, </w:t>
      </w:r>
      <w:r w:rsidR="008A1EA6">
        <w:rPr>
          <w:rFonts w:eastAsia="Times New Roman"/>
          <w:szCs w:val="24"/>
        </w:rPr>
        <w:t xml:space="preserve">sharing the burden of service provision will allow the municipal entity to better address its own affairs. </w:t>
      </w:r>
      <w:r w:rsidR="000B543A">
        <w:rPr>
          <w:rFonts w:eastAsia="Times New Roman"/>
          <w:szCs w:val="24"/>
        </w:rPr>
        <w:t xml:space="preserve">In part, this need for sharing services is why Entity 6 is part of RSD 1 rather than RSD 2 with the </w:t>
      </w:r>
      <w:r w:rsidR="00624FDC">
        <w:rPr>
          <w:rFonts w:eastAsia="Times New Roman"/>
          <w:szCs w:val="24"/>
        </w:rPr>
        <w:t xml:space="preserve">rest of Restigouche county. RSD 1’s five other municipalities will be able to </w:t>
      </w:r>
      <w:r w:rsidR="0032259E">
        <w:rPr>
          <w:rFonts w:eastAsia="Times New Roman"/>
          <w:szCs w:val="24"/>
        </w:rPr>
        <w:t xml:space="preserve">sustain an additional more rural community better than RSD 2 as the region’s financial base is better overall. </w:t>
      </w:r>
    </w:p>
    <w:p w14:paraId="7BEFB9DD" w14:textId="77777777" w:rsidR="00226288" w:rsidRPr="00226288" w:rsidRDefault="00226288" w:rsidP="00B04C93">
      <w:pPr>
        <w:jc w:val="both"/>
        <w:rPr>
          <w:rFonts w:eastAsia="Times New Roman"/>
          <w:szCs w:val="24"/>
        </w:rPr>
      </w:pPr>
      <w:r w:rsidRPr="00226288">
        <w:rPr>
          <w:rFonts w:eastAsia="Times New Roman"/>
          <w:szCs w:val="24"/>
        </w:rPr>
        <w:t xml:space="preserve">The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C0925F5" w14:textId="78C5F2FC" w:rsidR="47626E9A" w:rsidRPr="000607F8" w:rsidRDefault="00226288" w:rsidP="000607F8">
      <w:pPr>
        <w:jc w:val="both"/>
        <w:rPr>
          <w:rFonts w:eastAsia="Times New Roman"/>
          <w:szCs w:val="24"/>
        </w:rPr>
      </w:pPr>
      <w:r w:rsidRPr="00226288">
        <w:rPr>
          <w:rFonts w:eastAsia="Times New Roman"/>
          <w:szCs w:val="24"/>
        </w:rPr>
        <w:t xml:space="preserve">Overall, </w:t>
      </w:r>
      <w:r w:rsidR="00B27530">
        <w:rPr>
          <w:rFonts w:eastAsia="Times New Roman"/>
          <w:szCs w:val="24"/>
        </w:rPr>
        <w:t>Entity 6</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sectPr w:rsidR="47626E9A" w:rsidRPr="000607F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C228B" w14:textId="77777777" w:rsidR="005C104F" w:rsidRDefault="005C104F" w:rsidP="00533253">
      <w:pPr>
        <w:spacing w:after="0" w:line="240" w:lineRule="auto"/>
      </w:pPr>
      <w:r>
        <w:separator/>
      </w:r>
    </w:p>
  </w:endnote>
  <w:endnote w:type="continuationSeparator" w:id="0">
    <w:p w14:paraId="3FF25A79" w14:textId="77777777" w:rsidR="005C104F" w:rsidRDefault="005C104F" w:rsidP="0053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951B1" w14:textId="77777777" w:rsidR="005C104F" w:rsidRDefault="005C104F" w:rsidP="00533253">
      <w:pPr>
        <w:spacing w:after="0" w:line="240" w:lineRule="auto"/>
      </w:pPr>
      <w:r>
        <w:separator/>
      </w:r>
    </w:p>
  </w:footnote>
  <w:footnote w:type="continuationSeparator" w:id="0">
    <w:p w14:paraId="6CBB822B" w14:textId="77777777" w:rsidR="005C104F" w:rsidRDefault="005C104F" w:rsidP="00533253">
      <w:pPr>
        <w:spacing w:after="0" w:line="240" w:lineRule="auto"/>
      </w:pPr>
      <w:r>
        <w:continuationSeparator/>
      </w:r>
    </w:p>
  </w:footnote>
  <w:footnote w:id="1">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2">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FE2"/>
    <w:rsid w:val="00011EC1"/>
    <w:rsid w:val="000238B0"/>
    <w:rsid w:val="000259AF"/>
    <w:rsid w:val="00025F29"/>
    <w:rsid w:val="000356BA"/>
    <w:rsid w:val="000361EA"/>
    <w:rsid w:val="0004189C"/>
    <w:rsid w:val="00050419"/>
    <w:rsid w:val="000607F8"/>
    <w:rsid w:val="00061B5D"/>
    <w:rsid w:val="0006709B"/>
    <w:rsid w:val="0007121F"/>
    <w:rsid w:val="000726CD"/>
    <w:rsid w:val="00081AC4"/>
    <w:rsid w:val="00092F45"/>
    <w:rsid w:val="0009529B"/>
    <w:rsid w:val="000A372D"/>
    <w:rsid w:val="000A4D7C"/>
    <w:rsid w:val="000A6251"/>
    <w:rsid w:val="000B3B59"/>
    <w:rsid w:val="000B543A"/>
    <w:rsid w:val="000C0824"/>
    <w:rsid w:val="000C30F7"/>
    <w:rsid w:val="000D0C37"/>
    <w:rsid w:val="000D539E"/>
    <w:rsid w:val="000E0371"/>
    <w:rsid w:val="0010084F"/>
    <w:rsid w:val="001010F7"/>
    <w:rsid w:val="0010753B"/>
    <w:rsid w:val="001120C5"/>
    <w:rsid w:val="0012393A"/>
    <w:rsid w:val="001333B6"/>
    <w:rsid w:val="0013553C"/>
    <w:rsid w:val="00144572"/>
    <w:rsid w:val="00156AEF"/>
    <w:rsid w:val="001618D5"/>
    <w:rsid w:val="00163993"/>
    <w:rsid w:val="001713C5"/>
    <w:rsid w:val="00182F1D"/>
    <w:rsid w:val="00191519"/>
    <w:rsid w:val="00195492"/>
    <w:rsid w:val="001961F9"/>
    <w:rsid w:val="001A0135"/>
    <w:rsid w:val="001A4616"/>
    <w:rsid w:val="001C2040"/>
    <w:rsid w:val="001C359A"/>
    <w:rsid w:val="001D00C9"/>
    <w:rsid w:val="001F35C3"/>
    <w:rsid w:val="001F57F4"/>
    <w:rsid w:val="001F6F3C"/>
    <w:rsid w:val="001F7C93"/>
    <w:rsid w:val="00200EE0"/>
    <w:rsid w:val="002025E6"/>
    <w:rsid w:val="00203CFE"/>
    <w:rsid w:val="00205CFB"/>
    <w:rsid w:val="002120AC"/>
    <w:rsid w:val="0021316D"/>
    <w:rsid w:val="00214405"/>
    <w:rsid w:val="00215178"/>
    <w:rsid w:val="00217691"/>
    <w:rsid w:val="00224499"/>
    <w:rsid w:val="00226288"/>
    <w:rsid w:val="002271ED"/>
    <w:rsid w:val="002325B6"/>
    <w:rsid w:val="0023283B"/>
    <w:rsid w:val="00234790"/>
    <w:rsid w:val="00242CFD"/>
    <w:rsid w:val="00246CF0"/>
    <w:rsid w:val="00255EFF"/>
    <w:rsid w:val="00263EA3"/>
    <w:rsid w:val="0027002D"/>
    <w:rsid w:val="00273118"/>
    <w:rsid w:val="002821E2"/>
    <w:rsid w:val="0028792A"/>
    <w:rsid w:val="00291052"/>
    <w:rsid w:val="00296040"/>
    <w:rsid w:val="002C3552"/>
    <w:rsid w:val="002D4526"/>
    <w:rsid w:val="002E0EF6"/>
    <w:rsid w:val="002F2119"/>
    <w:rsid w:val="002F42D3"/>
    <w:rsid w:val="002F62E8"/>
    <w:rsid w:val="002F6FA4"/>
    <w:rsid w:val="0030415E"/>
    <w:rsid w:val="00307880"/>
    <w:rsid w:val="00313389"/>
    <w:rsid w:val="003152BF"/>
    <w:rsid w:val="00317DEF"/>
    <w:rsid w:val="003219CB"/>
    <w:rsid w:val="0032204E"/>
    <w:rsid w:val="0032259E"/>
    <w:rsid w:val="00326D5B"/>
    <w:rsid w:val="00331342"/>
    <w:rsid w:val="00333276"/>
    <w:rsid w:val="00340E57"/>
    <w:rsid w:val="00342506"/>
    <w:rsid w:val="00343F5F"/>
    <w:rsid w:val="00344A46"/>
    <w:rsid w:val="003459DA"/>
    <w:rsid w:val="00351F4C"/>
    <w:rsid w:val="00354F92"/>
    <w:rsid w:val="00365826"/>
    <w:rsid w:val="00365E92"/>
    <w:rsid w:val="0036789A"/>
    <w:rsid w:val="00386C93"/>
    <w:rsid w:val="003975CE"/>
    <w:rsid w:val="003A431A"/>
    <w:rsid w:val="003A4C02"/>
    <w:rsid w:val="003B18DC"/>
    <w:rsid w:val="003B1FCD"/>
    <w:rsid w:val="003B3F3D"/>
    <w:rsid w:val="003B448F"/>
    <w:rsid w:val="003D3F4B"/>
    <w:rsid w:val="003E381F"/>
    <w:rsid w:val="003E41B8"/>
    <w:rsid w:val="00400690"/>
    <w:rsid w:val="00410A7C"/>
    <w:rsid w:val="00413C87"/>
    <w:rsid w:val="00416A76"/>
    <w:rsid w:val="00417737"/>
    <w:rsid w:val="00417F02"/>
    <w:rsid w:val="00420653"/>
    <w:rsid w:val="00426356"/>
    <w:rsid w:val="00433159"/>
    <w:rsid w:val="004357F8"/>
    <w:rsid w:val="004358AB"/>
    <w:rsid w:val="00436353"/>
    <w:rsid w:val="00441FE2"/>
    <w:rsid w:val="004443C2"/>
    <w:rsid w:val="00447790"/>
    <w:rsid w:val="0045117A"/>
    <w:rsid w:val="00452AB5"/>
    <w:rsid w:val="00456C6D"/>
    <w:rsid w:val="004570D0"/>
    <w:rsid w:val="004576A5"/>
    <w:rsid w:val="0047091C"/>
    <w:rsid w:val="004711F9"/>
    <w:rsid w:val="0047285E"/>
    <w:rsid w:val="004803CE"/>
    <w:rsid w:val="004828D9"/>
    <w:rsid w:val="00482DBE"/>
    <w:rsid w:val="004832BE"/>
    <w:rsid w:val="00492DEB"/>
    <w:rsid w:val="00495F46"/>
    <w:rsid w:val="00497B75"/>
    <w:rsid w:val="004B0C32"/>
    <w:rsid w:val="004B618F"/>
    <w:rsid w:val="004C36B5"/>
    <w:rsid w:val="004C7794"/>
    <w:rsid w:val="004D2B1B"/>
    <w:rsid w:val="004D3EFB"/>
    <w:rsid w:val="004D50FF"/>
    <w:rsid w:val="004D57D8"/>
    <w:rsid w:val="004E778B"/>
    <w:rsid w:val="004F155E"/>
    <w:rsid w:val="004F18A7"/>
    <w:rsid w:val="004F7378"/>
    <w:rsid w:val="00503E48"/>
    <w:rsid w:val="00510189"/>
    <w:rsid w:val="005238F9"/>
    <w:rsid w:val="005262CC"/>
    <w:rsid w:val="00526874"/>
    <w:rsid w:val="00533253"/>
    <w:rsid w:val="005335FD"/>
    <w:rsid w:val="005336CE"/>
    <w:rsid w:val="00536AD2"/>
    <w:rsid w:val="00540C77"/>
    <w:rsid w:val="00542F95"/>
    <w:rsid w:val="00544386"/>
    <w:rsid w:val="00552C7D"/>
    <w:rsid w:val="00553C6E"/>
    <w:rsid w:val="00560445"/>
    <w:rsid w:val="005724E0"/>
    <w:rsid w:val="00576659"/>
    <w:rsid w:val="0058123A"/>
    <w:rsid w:val="0058723C"/>
    <w:rsid w:val="00587D02"/>
    <w:rsid w:val="00593BF0"/>
    <w:rsid w:val="005A2167"/>
    <w:rsid w:val="005A324E"/>
    <w:rsid w:val="005B0633"/>
    <w:rsid w:val="005B0918"/>
    <w:rsid w:val="005B1A0B"/>
    <w:rsid w:val="005C104F"/>
    <w:rsid w:val="005C78EF"/>
    <w:rsid w:val="005C799D"/>
    <w:rsid w:val="005E55E4"/>
    <w:rsid w:val="005F24A5"/>
    <w:rsid w:val="005F4057"/>
    <w:rsid w:val="0060390E"/>
    <w:rsid w:val="006040A2"/>
    <w:rsid w:val="00610721"/>
    <w:rsid w:val="00612EFD"/>
    <w:rsid w:val="00624FDC"/>
    <w:rsid w:val="00626347"/>
    <w:rsid w:val="00631A92"/>
    <w:rsid w:val="00631D13"/>
    <w:rsid w:val="00641FCF"/>
    <w:rsid w:val="006437C2"/>
    <w:rsid w:val="006551B6"/>
    <w:rsid w:val="006666D0"/>
    <w:rsid w:val="00670E6D"/>
    <w:rsid w:val="00671D38"/>
    <w:rsid w:val="006736F1"/>
    <w:rsid w:val="00673A59"/>
    <w:rsid w:val="00675291"/>
    <w:rsid w:val="00677F07"/>
    <w:rsid w:val="00680EEB"/>
    <w:rsid w:val="00681B61"/>
    <w:rsid w:val="00681C2B"/>
    <w:rsid w:val="00681F3B"/>
    <w:rsid w:val="00693E2B"/>
    <w:rsid w:val="00697AEA"/>
    <w:rsid w:val="006C719D"/>
    <w:rsid w:val="006D6A15"/>
    <w:rsid w:val="006E13F5"/>
    <w:rsid w:val="006E18B2"/>
    <w:rsid w:val="006F1B6E"/>
    <w:rsid w:val="006F202E"/>
    <w:rsid w:val="006F51A6"/>
    <w:rsid w:val="00705490"/>
    <w:rsid w:val="00714BE0"/>
    <w:rsid w:val="00715B3D"/>
    <w:rsid w:val="007218E7"/>
    <w:rsid w:val="00722C51"/>
    <w:rsid w:val="0072646B"/>
    <w:rsid w:val="007266D3"/>
    <w:rsid w:val="00733139"/>
    <w:rsid w:val="00737C46"/>
    <w:rsid w:val="007540B3"/>
    <w:rsid w:val="0075617E"/>
    <w:rsid w:val="00756739"/>
    <w:rsid w:val="00761CCB"/>
    <w:rsid w:val="00765957"/>
    <w:rsid w:val="00767704"/>
    <w:rsid w:val="00770EF9"/>
    <w:rsid w:val="00774628"/>
    <w:rsid w:val="007767E0"/>
    <w:rsid w:val="00784B4D"/>
    <w:rsid w:val="007864C8"/>
    <w:rsid w:val="007870B9"/>
    <w:rsid w:val="0079085C"/>
    <w:rsid w:val="00790F0F"/>
    <w:rsid w:val="007A6BD4"/>
    <w:rsid w:val="007C3850"/>
    <w:rsid w:val="007C3C5E"/>
    <w:rsid w:val="007D145D"/>
    <w:rsid w:val="007E0F92"/>
    <w:rsid w:val="007E140A"/>
    <w:rsid w:val="007E5CE4"/>
    <w:rsid w:val="007E744A"/>
    <w:rsid w:val="007F07B0"/>
    <w:rsid w:val="007F0D36"/>
    <w:rsid w:val="007F5DC8"/>
    <w:rsid w:val="007F666E"/>
    <w:rsid w:val="0080158C"/>
    <w:rsid w:val="00803E89"/>
    <w:rsid w:val="00812B97"/>
    <w:rsid w:val="00821215"/>
    <w:rsid w:val="00826FF4"/>
    <w:rsid w:val="00834815"/>
    <w:rsid w:val="00835E77"/>
    <w:rsid w:val="00840403"/>
    <w:rsid w:val="00842249"/>
    <w:rsid w:val="00852005"/>
    <w:rsid w:val="00853E3A"/>
    <w:rsid w:val="00855D67"/>
    <w:rsid w:val="0086227A"/>
    <w:rsid w:val="00862A5B"/>
    <w:rsid w:val="00872051"/>
    <w:rsid w:val="00876569"/>
    <w:rsid w:val="00876F44"/>
    <w:rsid w:val="00877A83"/>
    <w:rsid w:val="00880DC2"/>
    <w:rsid w:val="00886CC5"/>
    <w:rsid w:val="00890F6D"/>
    <w:rsid w:val="0089636A"/>
    <w:rsid w:val="008963E5"/>
    <w:rsid w:val="008A1EA6"/>
    <w:rsid w:val="008A3666"/>
    <w:rsid w:val="008A3772"/>
    <w:rsid w:val="008B3CB3"/>
    <w:rsid w:val="008C082C"/>
    <w:rsid w:val="008C5776"/>
    <w:rsid w:val="008C5E9C"/>
    <w:rsid w:val="008D4F96"/>
    <w:rsid w:val="008D5897"/>
    <w:rsid w:val="008D69C8"/>
    <w:rsid w:val="008D7001"/>
    <w:rsid w:val="008E30F8"/>
    <w:rsid w:val="008E5BF4"/>
    <w:rsid w:val="008F3D10"/>
    <w:rsid w:val="0090316A"/>
    <w:rsid w:val="009106B0"/>
    <w:rsid w:val="00910DAD"/>
    <w:rsid w:val="009113A3"/>
    <w:rsid w:val="00914776"/>
    <w:rsid w:val="00914F68"/>
    <w:rsid w:val="00915C3C"/>
    <w:rsid w:val="00916094"/>
    <w:rsid w:val="00930141"/>
    <w:rsid w:val="00937062"/>
    <w:rsid w:val="0094032D"/>
    <w:rsid w:val="009407F0"/>
    <w:rsid w:val="009534A1"/>
    <w:rsid w:val="00964426"/>
    <w:rsid w:val="00973562"/>
    <w:rsid w:val="00975BA7"/>
    <w:rsid w:val="00986C0D"/>
    <w:rsid w:val="00993AFC"/>
    <w:rsid w:val="009A3B95"/>
    <w:rsid w:val="009A458A"/>
    <w:rsid w:val="009A54EE"/>
    <w:rsid w:val="009A6210"/>
    <w:rsid w:val="009B1567"/>
    <w:rsid w:val="009C3F94"/>
    <w:rsid w:val="009C400F"/>
    <w:rsid w:val="009C5A8A"/>
    <w:rsid w:val="009C610A"/>
    <w:rsid w:val="009D3B76"/>
    <w:rsid w:val="009D440A"/>
    <w:rsid w:val="009E008A"/>
    <w:rsid w:val="009E0814"/>
    <w:rsid w:val="009E1870"/>
    <w:rsid w:val="009E27E2"/>
    <w:rsid w:val="009E282B"/>
    <w:rsid w:val="00A00C83"/>
    <w:rsid w:val="00A02383"/>
    <w:rsid w:val="00A03051"/>
    <w:rsid w:val="00A04221"/>
    <w:rsid w:val="00A20D5A"/>
    <w:rsid w:val="00A228C8"/>
    <w:rsid w:val="00A25514"/>
    <w:rsid w:val="00A26BCF"/>
    <w:rsid w:val="00A36538"/>
    <w:rsid w:val="00A41E32"/>
    <w:rsid w:val="00A45579"/>
    <w:rsid w:val="00A47131"/>
    <w:rsid w:val="00A47308"/>
    <w:rsid w:val="00A622F8"/>
    <w:rsid w:val="00A65366"/>
    <w:rsid w:val="00A656D7"/>
    <w:rsid w:val="00A66519"/>
    <w:rsid w:val="00A76976"/>
    <w:rsid w:val="00A8263D"/>
    <w:rsid w:val="00A835ED"/>
    <w:rsid w:val="00A92519"/>
    <w:rsid w:val="00AA1DDD"/>
    <w:rsid w:val="00AA2A52"/>
    <w:rsid w:val="00AA5A47"/>
    <w:rsid w:val="00AB64B7"/>
    <w:rsid w:val="00AC341A"/>
    <w:rsid w:val="00AC4426"/>
    <w:rsid w:val="00AC5DB2"/>
    <w:rsid w:val="00AD6300"/>
    <w:rsid w:val="00AE1691"/>
    <w:rsid w:val="00AE3796"/>
    <w:rsid w:val="00AE3CB9"/>
    <w:rsid w:val="00AF35D4"/>
    <w:rsid w:val="00AF6180"/>
    <w:rsid w:val="00B00DE4"/>
    <w:rsid w:val="00B04C93"/>
    <w:rsid w:val="00B04E40"/>
    <w:rsid w:val="00B04E8A"/>
    <w:rsid w:val="00B24A1F"/>
    <w:rsid w:val="00B2583B"/>
    <w:rsid w:val="00B27530"/>
    <w:rsid w:val="00B34A7B"/>
    <w:rsid w:val="00B3507E"/>
    <w:rsid w:val="00B51104"/>
    <w:rsid w:val="00B53197"/>
    <w:rsid w:val="00B53E52"/>
    <w:rsid w:val="00B57FE0"/>
    <w:rsid w:val="00B61A5B"/>
    <w:rsid w:val="00B6278E"/>
    <w:rsid w:val="00B72F6F"/>
    <w:rsid w:val="00B86345"/>
    <w:rsid w:val="00B87C75"/>
    <w:rsid w:val="00B9087E"/>
    <w:rsid w:val="00B908A9"/>
    <w:rsid w:val="00B94F9A"/>
    <w:rsid w:val="00B95616"/>
    <w:rsid w:val="00BA10DF"/>
    <w:rsid w:val="00BA1272"/>
    <w:rsid w:val="00BA185C"/>
    <w:rsid w:val="00BB3750"/>
    <w:rsid w:val="00BB70AE"/>
    <w:rsid w:val="00BC13F1"/>
    <w:rsid w:val="00BC277B"/>
    <w:rsid w:val="00BE1438"/>
    <w:rsid w:val="00BE3C41"/>
    <w:rsid w:val="00BE42B4"/>
    <w:rsid w:val="00BE43FB"/>
    <w:rsid w:val="00BE604A"/>
    <w:rsid w:val="00BF7E3F"/>
    <w:rsid w:val="00C06DB3"/>
    <w:rsid w:val="00C132BD"/>
    <w:rsid w:val="00C23179"/>
    <w:rsid w:val="00C23508"/>
    <w:rsid w:val="00C36321"/>
    <w:rsid w:val="00C36E11"/>
    <w:rsid w:val="00C401EC"/>
    <w:rsid w:val="00C50350"/>
    <w:rsid w:val="00C52D0C"/>
    <w:rsid w:val="00C65D8B"/>
    <w:rsid w:val="00C8586B"/>
    <w:rsid w:val="00C942CD"/>
    <w:rsid w:val="00CA3C0E"/>
    <w:rsid w:val="00CA5586"/>
    <w:rsid w:val="00CA7412"/>
    <w:rsid w:val="00CA77DD"/>
    <w:rsid w:val="00CB38DB"/>
    <w:rsid w:val="00CB62EA"/>
    <w:rsid w:val="00CC3095"/>
    <w:rsid w:val="00CC4CA8"/>
    <w:rsid w:val="00CD12F5"/>
    <w:rsid w:val="00CE7A05"/>
    <w:rsid w:val="00CF02AF"/>
    <w:rsid w:val="00CF1F1C"/>
    <w:rsid w:val="00D02067"/>
    <w:rsid w:val="00D05172"/>
    <w:rsid w:val="00D17292"/>
    <w:rsid w:val="00D21261"/>
    <w:rsid w:val="00D21EC8"/>
    <w:rsid w:val="00D2549C"/>
    <w:rsid w:val="00D27FE3"/>
    <w:rsid w:val="00D30B7F"/>
    <w:rsid w:val="00D31C6B"/>
    <w:rsid w:val="00D3691A"/>
    <w:rsid w:val="00D41B44"/>
    <w:rsid w:val="00D459CC"/>
    <w:rsid w:val="00D503EA"/>
    <w:rsid w:val="00D52E91"/>
    <w:rsid w:val="00D5651B"/>
    <w:rsid w:val="00D62F71"/>
    <w:rsid w:val="00D66F81"/>
    <w:rsid w:val="00D71CE1"/>
    <w:rsid w:val="00D72EE0"/>
    <w:rsid w:val="00D73468"/>
    <w:rsid w:val="00D746A4"/>
    <w:rsid w:val="00D74936"/>
    <w:rsid w:val="00D76F1D"/>
    <w:rsid w:val="00D804CC"/>
    <w:rsid w:val="00D83E34"/>
    <w:rsid w:val="00D87F73"/>
    <w:rsid w:val="00D93B90"/>
    <w:rsid w:val="00D94D4B"/>
    <w:rsid w:val="00D965E7"/>
    <w:rsid w:val="00DA57E7"/>
    <w:rsid w:val="00DA588C"/>
    <w:rsid w:val="00DA6D14"/>
    <w:rsid w:val="00DB11A2"/>
    <w:rsid w:val="00DB4886"/>
    <w:rsid w:val="00DC1D89"/>
    <w:rsid w:val="00DC3C74"/>
    <w:rsid w:val="00DC5957"/>
    <w:rsid w:val="00DD0ADF"/>
    <w:rsid w:val="00DD1922"/>
    <w:rsid w:val="00DD457E"/>
    <w:rsid w:val="00DD49DF"/>
    <w:rsid w:val="00DD6077"/>
    <w:rsid w:val="00DD6701"/>
    <w:rsid w:val="00DE2662"/>
    <w:rsid w:val="00DE4CF7"/>
    <w:rsid w:val="00DE71DC"/>
    <w:rsid w:val="00DF23A1"/>
    <w:rsid w:val="00DF39F7"/>
    <w:rsid w:val="00E0218D"/>
    <w:rsid w:val="00E1004A"/>
    <w:rsid w:val="00E16335"/>
    <w:rsid w:val="00E17366"/>
    <w:rsid w:val="00E308F4"/>
    <w:rsid w:val="00E30DC8"/>
    <w:rsid w:val="00E316AF"/>
    <w:rsid w:val="00E33A22"/>
    <w:rsid w:val="00E41114"/>
    <w:rsid w:val="00E41968"/>
    <w:rsid w:val="00E44DC0"/>
    <w:rsid w:val="00E55335"/>
    <w:rsid w:val="00E55D8B"/>
    <w:rsid w:val="00E5681A"/>
    <w:rsid w:val="00E6046B"/>
    <w:rsid w:val="00E64543"/>
    <w:rsid w:val="00E719AD"/>
    <w:rsid w:val="00EA7CDE"/>
    <w:rsid w:val="00EB0362"/>
    <w:rsid w:val="00EC02C5"/>
    <w:rsid w:val="00EC71A3"/>
    <w:rsid w:val="00ED702F"/>
    <w:rsid w:val="00EE1061"/>
    <w:rsid w:val="00EE797B"/>
    <w:rsid w:val="00F0075E"/>
    <w:rsid w:val="00F06AB9"/>
    <w:rsid w:val="00F14B01"/>
    <w:rsid w:val="00F32FFB"/>
    <w:rsid w:val="00F33C87"/>
    <w:rsid w:val="00F344C7"/>
    <w:rsid w:val="00F35558"/>
    <w:rsid w:val="00F4188B"/>
    <w:rsid w:val="00F41ED4"/>
    <w:rsid w:val="00F43A14"/>
    <w:rsid w:val="00F44896"/>
    <w:rsid w:val="00F52FA7"/>
    <w:rsid w:val="00F534B9"/>
    <w:rsid w:val="00F567EC"/>
    <w:rsid w:val="00F601D1"/>
    <w:rsid w:val="00F622A7"/>
    <w:rsid w:val="00F63306"/>
    <w:rsid w:val="00F64E85"/>
    <w:rsid w:val="00F6557B"/>
    <w:rsid w:val="00F7126C"/>
    <w:rsid w:val="00F738DC"/>
    <w:rsid w:val="00F7536C"/>
    <w:rsid w:val="00F76586"/>
    <w:rsid w:val="00F77D1F"/>
    <w:rsid w:val="00F91D75"/>
    <w:rsid w:val="00FA4291"/>
    <w:rsid w:val="00FC404B"/>
    <w:rsid w:val="00FC47CF"/>
    <w:rsid w:val="00FC527C"/>
    <w:rsid w:val="00FC5436"/>
    <w:rsid w:val="00FC5FDF"/>
    <w:rsid w:val="00FD54A3"/>
    <w:rsid w:val="00FD597E"/>
    <w:rsid w:val="00FE344B"/>
    <w:rsid w:val="00FE6560"/>
    <w:rsid w:val="00FE7ED2"/>
    <w:rsid w:val="00FF076A"/>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288585">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22196863">
      <w:bodyDiv w:val="1"/>
      <w:marLeft w:val="0"/>
      <w:marRight w:val="0"/>
      <w:marTop w:val="0"/>
      <w:marBottom w:val="0"/>
      <w:divBdr>
        <w:top w:val="none" w:sz="0" w:space="0" w:color="auto"/>
        <w:left w:val="none" w:sz="0" w:space="0" w:color="auto"/>
        <w:bottom w:val="none" w:sz="0" w:space="0" w:color="auto"/>
        <w:right w:val="none" w:sz="0" w:space="0" w:color="auto"/>
      </w:divBdr>
    </w:div>
    <w:div w:id="692462565">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840193992">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E4864-6A38-4F22-B46D-63319914F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1725</Words>
  <Characters>9837</Characters>
  <Application>Microsoft Office Word</Application>
  <DocSecurity>0</DocSecurity>
  <Lines>81</Lines>
  <Paragraphs>23</Paragraphs>
  <ScaleCrop>false</ScaleCrop>
  <Company/>
  <LinksUpToDate>false</LinksUpToDate>
  <CharactersWithSpaces>11539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121</cp:revision>
  <dcterms:created xsi:type="dcterms:W3CDTF">2020-03-31T13:35:00Z</dcterms:created>
  <dcterms:modified xsi:type="dcterms:W3CDTF">2020-05-29T18:46:00Z</dcterms:modified>
</cp:coreProperties>
</file>