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FD9D68" w14:textId="3FEBDC5B" w:rsidR="00784B4D" w:rsidRPr="00F86728" w:rsidRDefault="524E733E" w:rsidP="00F86728">
      <w:r w:rsidRPr="00F86728">
        <w:t xml:space="preserve">An </w:t>
      </w:r>
      <w:r w:rsidR="00F86728" w:rsidRPr="00F86728">
        <w:t>I</w:t>
      </w:r>
      <w:r w:rsidRPr="00F86728">
        <w:t>mage of the Future – Entit</w:t>
      </w:r>
      <w:r w:rsidR="00975BA7" w:rsidRPr="00F86728">
        <w:t>y</w:t>
      </w:r>
      <w:r w:rsidR="00733139" w:rsidRPr="00F86728">
        <w:t xml:space="preserve"> </w:t>
      </w:r>
      <w:r w:rsidR="00DF1A30" w:rsidRPr="00F86728">
        <w:t>9</w:t>
      </w:r>
      <w:r w:rsidR="006E13F5" w:rsidRPr="00F86728">
        <w:t xml:space="preserve"> </w:t>
      </w:r>
      <w:r w:rsidR="00975BA7" w:rsidRPr="00F86728">
        <w:t xml:space="preserve">and Regional Service District </w:t>
      </w:r>
      <w:r w:rsidR="00733139" w:rsidRPr="00F86728">
        <w:t>2</w:t>
      </w:r>
    </w:p>
    <w:p w14:paraId="048707CE" w14:textId="072FEA61" w:rsidR="00CF02AF" w:rsidRDefault="00F33578" w:rsidP="249DB127">
      <w:pPr>
        <w:rPr>
          <w:rFonts w:eastAsia="Times New Roman"/>
        </w:rPr>
      </w:pPr>
      <w:r>
        <w:rPr>
          <w:noProof/>
        </w:rPr>
        <mc:AlternateContent>
          <mc:Choice Requires="wps">
            <w:drawing>
              <wp:anchor distT="0" distB="0" distL="114300" distR="114300" simplePos="0" relativeHeight="251659264" behindDoc="0" locked="0" layoutInCell="1" allowOverlap="1" wp14:anchorId="543F43E2" wp14:editId="5E9FA2D9">
                <wp:simplePos x="0" y="0"/>
                <wp:positionH relativeFrom="column">
                  <wp:posOffset>5372100</wp:posOffset>
                </wp:positionH>
                <wp:positionV relativeFrom="paragraph">
                  <wp:posOffset>1408430</wp:posOffset>
                </wp:positionV>
                <wp:extent cx="914400" cy="5715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914400" cy="571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A82FCB" id="Rectangle 1" o:spid="_x0000_s1026" style="position:absolute;margin-left:423pt;margin-top:110.9pt;width:1in;height: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" fillcolor="white [3212]" strokecolor="white [3212]" strokeweight="1pt"/>
            </w:pict>
          </mc:Fallback>
        </mc:AlternateContent>
      </w:r>
      <w:r>
        <w:rPr>
          <w:noProof/>
        </w:rPr>
        <w:drawing>
          <wp:anchor distT="0" distB="0" distL="114300" distR="114300" simplePos="0" relativeHeight="251658240" behindDoc="1" locked="0" layoutInCell="1" allowOverlap="1" wp14:anchorId="5A6693D6" wp14:editId="39310A5F">
            <wp:simplePos x="0" y="0"/>
            <wp:positionH relativeFrom="column">
              <wp:posOffset>2743200</wp:posOffset>
            </wp:positionH>
            <wp:positionV relativeFrom="paragraph">
              <wp:posOffset>1407795</wp:posOffset>
            </wp:positionV>
            <wp:extent cx="3200400" cy="3401060"/>
            <wp:effectExtent l="0" t="0" r="0" b="8890"/>
            <wp:wrapTight wrapText="bothSides">
              <wp:wrapPolygon edited="0">
                <wp:start x="257" y="0"/>
                <wp:lineTo x="0" y="363"/>
                <wp:lineTo x="0" y="20689"/>
                <wp:lineTo x="129" y="21414"/>
                <wp:lineTo x="257" y="21535"/>
                <wp:lineTo x="21214" y="21535"/>
                <wp:lineTo x="21343" y="21414"/>
                <wp:lineTo x="21471" y="20689"/>
                <wp:lineTo x="21471" y="363"/>
                <wp:lineTo x="21214" y="0"/>
                <wp:lineTo x="257" y="0"/>
              </wp:wrapPolygon>
            </wp:wrapTight>
            <wp:docPr id="1732244913" name="Picture 173224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38383" t="13238" r="7609" b="10927"/>
                    <a:stretch/>
                  </pic:blipFill>
                  <pic:spPr bwMode="auto">
                    <a:xfrm>
                      <a:off x="0" y="0"/>
                      <a:ext cx="3200400" cy="3401060"/>
                    </a:xfrm>
                    <a:prstGeom prst="rect">
                      <a:avLst/>
                    </a:prstGeom>
                    <a:ln>
                      <a:noFill/>
                    </a:ln>
                    <a:effectLst>
                      <a:softEdge rad="1016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249DB127" w:rsidRPr="249DB127">
        <w:rPr>
          <w:rFonts w:eastAsia="Times New Roman"/>
        </w:rPr>
        <w:t>To illustrate the benefits of this new framework, take the example of Entity</w:t>
      </w:r>
      <w:r w:rsidR="00D94D4B">
        <w:rPr>
          <w:rFonts w:eastAsia="Times New Roman"/>
        </w:rPr>
        <w:t xml:space="preserve"> </w:t>
      </w:r>
      <w:r w:rsidR="00C96C0B">
        <w:rPr>
          <w:rFonts w:eastAsia="Times New Roman"/>
        </w:rPr>
        <w:t>9</w:t>
      </w:r>
      <w:r w:rsidR="249DB127" w:rsidRPr="249DB127">
        <w:rPr>
          <w:rFonts w:eastAsia="Times New Roman"/>
        </w:rPr>
        <w:t>, the municipali</w:t>
      </w:r>
      <w:r w:rsidR="00C96C0B">
        <w:rPr>
          <w:rFonts w:eastAsia="Times New Roman"/>
        </w:rPr>
        <w:t>ty</w:t>
      </w:r>
      <w:r w:rsidR="249DB127" w:rsidRPr="249DB127">
        <w:rPr>
          <w:rFonts w:eastAsia="Times New Roman"/>
        </w:rPr>
        <w:t xml:space="preserve"> </w:t>
      </w:r>
      <w:r w:rsidR="00C96C0B">
        <w:rPr>
          <w:rFonts w:eastAsia="Times New Roman"/>
        </w:rPr>
        <w:t xml:space="preserve">stretching from </w:t>
      </w:r>
      <w:proofErr w:type="spellStart"/>
      <w:r w:rsidR="00CE32CD">
        <w:rPr>
          <w:rFonts w:eastAsia="Times New Roman"/>
        </w:rPr>
        <w:t>Belledune</w:t>
      </w:r>
      <w:proofErr w:type="spellEnd"/>
      <w:r w:rsidR="00CE32CD">
        <w:rPr>
          <w:rFonts w:eastAsia="Times New Roman"/>
        </w:rPr>
        <w:t xml:space="preserve"> to Charlo</w:t>
      </w:r>
      <w:r w:rsidR="249DB127" w:rsidRPr="249DB127">
        <w:rPr>
          <w:rFonts w:eastAsia="Times New Roman"/>
        </w:rPr>
        <w:t>. For the duration of this discussion the municipality shall be referred to as Entity</w:t>
      </w:r>
      <w:r w:rsidR="00061B5D">
        <w:rPr>
          <w:rFonts w:eastAsia="Times New Roman"/>
        </w:rPr>
        <w:t xml:space="preserve"> </w:t>
      </w:r>
      <w:r w:rsidR="00CE32CD">
        <w:rPr>
          <w:rFonts w:eastAsia="Times New Roman"/>
        </w:rPr>
        <w:t>9</w:t>
      </w:r>
      <w:r w:rsidR="249DB127" w:rsidRPr="249DB127">
        <w:rPr>
          <w:rFonts w:eastAsia="Times New Roman"/>
        </w:rPr>
        <w:t xml:space="preserve">, as while the municipality could conceivably adopt </w:t>
      </w:r>
      <w:proofErr w:type="spellStart"/>
      <w:r w:rsidR="00B23CED">
        <w:rPr>
          <w:rFonts w:eastAsia="Times New Roman"/>
        </w:rPr>
        <w:t>Belledune</w:t>
      </w:r>
      <w:proofErr w:type="spellEnd"/>
      <w:r w:rsidR="000C7E81">
        <w:rPr>
          <w:rFonts w:eastAsia="Times New Roman"/>
        </w:rPr>
        <w:t>,</w:t>
      </w:r>
      <w:r w:rsidR="00B23CED">
        <w:rPr>
          <w:rFonts w:eastAsia="Times New Roman"/>
        </w:rPr>
        <w:t xml:space="preserve"> Lorne</w:t>
      </w:r>
      <w:r w:rsidR="000C7E81">
        <w:rPr>
          <w:rFonts w:eastAsia="Times New Roman"/>
        </w:rPr>
        <w:t xml:space="preserve">, </w:t>
      </w:r>
      <w:proofErr w:type="spellStart"/>
      <w:r w:rsidR="00B23CED">
        <w:rPr>
          <w:rFonts w:eastAsia="Times New Roman"/>
        </w:rPr>
        <w:t>Chaleaur</w:t>
      </w:r>
      <w:proofErr w:type="spellEnd"/>
      <w:r w:rsidR="00061B5D">
        <w:rPr>
          <w:rFonts w:eastAsia="Times New Roman"/>
        </w:rPr>
        <w:t xml:space="preserve"> </w:t>
      </w:r>
      <w:r w:rsidR="249DB127" w:rsidRPr="249DB127">
        <w:rPr>
          <w:rFonts w:eastAsia="Times New Roman"/>
        </w:rPr>
        <w:t>or any other name, the naming of the 53 municipal entities remains a task for the citizens of each entity.</w:t>
      </w:r>
      <w:r w:rsidR="00BB70AE" w:rsidRPr="249DB127">
        <w:rPr>
          <w:rStyle w:val="FootnoteReference"/>
          <w:rFonts w:eastAsia="Times New Roman"/>
        </w:rPr>
        <w:footnoteReference w:id="1"/>
      </w:r>
      <w:r w:rsidR="249DB127" w:rsidRPr="249DB127">
        <w:rPr>
          <w:rFonts w:eastAsia="Times New Roman"/>
        </w:rPr>
        <w:t xml:space="preserve"> Leaving the name of each entity undetermined is an important measure for the development of sustainable new municipal identities</w:t>
      </w:r>
      <w:r w:rsidR="00F64E85">
        <w:rPr>
          <w:rFonts w:eastAsia="Times New Roman"/>
        </w:rPr>
        <w:t xml:space="preserve"> to compliment those of the existing towns, villages, and LSDs.</w:t>
      </w:r>
    </w:p>
    <w:p w14:paraId="4AF9D488" w14:textId="63F6B259" w:rsidR="00BE604A" w:rsidRPr="00BE604A" w:rsidRDefault="00BE604A" w:rsidP="00BE604A">
      <w:pPr>
        <w:rPr>
          <w:b/>
          <w:bCs/>
        </w:rPr>
      </w:pPr>
      <w:r w:rsidRPr="00BE604A">
        <w:rPr>
          <w:rFonts w:eastAsia="Times New Roman"/>
          <w:b/>
          <w:bCs/>
        </w:rPr>
        <w:t>Geographic Boundaries</w:t>
      </w:r>
    </w:p>
    <w:p w14:paraId="2490C585" w14:textId="22422E99" w:rsidR="00AA6183" w:rsidRPr="00AA6183" w:rsidRDefault="00A2406E" w:rsidP="249DB127">
      <w:pPr>
        <w:rPr>
          <w:szCs w:val="24"/>
        </w:rPr>
      </w:pPr>
      <w:r>
        <w:rPr>
          <w:szCs w:val="24"/>
        </w:rPr>
        <w:t xml:space="preserve">While covering a large area, Entity 9 would </w:t>
      </w:r>
      <w:r w:rsidR="004464CE">
        <w:rPr>
          <w:szCs w:val="24"/>
        </w:rPr>
        <w:t>consist of only four existing local governance entities. The only vi</w:t>
      </w:r>
      <w:r w:rsidR="00AA6183">
        <w:rPr>
          <w:szCs w:val="24"/>
        </w:rPr>
        <w:t xml:space="preserve">llage currently within the boundaries of Entity 9 is </w:t>
      </w:r>
      <w:proofErr w:type="spellStart"/>
      <w:r w:rsidR="00AA6183">
        <w:rPr>
          <w:szCs w:val="24"/>
        </w:rPr>
        <w:t>Belledune</w:t>
      </w:r>
      <w:proofErr w:type="spellEnd"/>
      <w:r w:rsidR="00AA6183">
        <w:rPr>
          <w:szCs w:val="24"/>
        </w:rPr>
        <w:t xml:space="preserve">, with the rest of the </w:t>
      </w:r>
      <w:r w:rsidR="005A2789">
        <w:rPr>
          <w:szCs w:val="24"/>
        </w:rPr>
        <w:t xml:space="preserve">area covered by the LSDs of Lorne, </w:t>
      </w:r>
      <w:proofErr w:type="spellStart"/>
      <w:r w:rsidR="004E48FD">
        <w:rPr>
          <w:szCs w:val="24"/>
        </w:rPr>
        <w:t>Colburn</w:t>
      </w:r>
      <w:r w:rsidR="004847FF">
        <w:rPr>
          <w:szCs w:val="24"/>
        </w:rPr>
        <w:t>e</w:t>
      </w:r>
      <w:proofErr w:type="spellEnd"/>
      <w:r w:rsidR="004847FF">
        <w:rPr>
          <w:szCs w:val="24"/>
        </w:rPr>
        <w:t>,</w:t>
      </w:r>
      <w:r w:rsidR="004E48FD">
        <w:rPr>
          <w:szCs w:val="24"/>
        </w:rPr>
        <w:t xml:space="preserve"> and Durham. </w:t>
      </w:r>
      <w:r w:rsidR="00E91E4B">
        <w:rPr>
          <w:szCs w:val="24"/>
        </w:rPr>
        <w:t>The majority of the entity would be Crown Land</w:t>
      </w:r>
      <w:r w:rsidR="0089003C">
        <w:rPr>
          <w:szCs w:val="24"/>
        </w:rPr>
        <w:t>.</w:t>
      </w:r>
    </w:p>
    <w:p w14:paraId="1C602541" w14:textId="08084D1A" w:rsidR="00CF02AF" w:rsidRPr="00F33578" w:rsidRDefault="002A66C3" w:rsidP="249DB127">
      <w:pPr>
        <w:rPr>
          <w:szCs w:val="24"/>
        </w:rPr>
      </w:pPr>
      <w:r>
        <w:rPr>
          <w:szCs w:val="24"/>
        </w:rPr>
        <w:t xml:space="preserve">Entity </w:t>
      </w:r>
      <w:r w:rsidR="004847FF">
        <w:rPr>
          <w:szCs w:val="24"/>
        </w:rPr>
        <w:t>9’s</w:t>
      </w:r>
      <w:r>
        <w:rPr>
          <w:szCs w:val="24"/>
        </w:rPr>
        <w:t xml:space="preserve"> northern boundary would follow the coastline from the </w:t>
      </w:r>
      <w:r w:rsidR="00533AB8">
        <w:rPr>
          <w:szCs w:val="24"/>
        </w:rPr>
        <w:t>edge</w:t>
      </w:r>
      <w:r w:rsidR="00F1725F">
        <w:rPr>
          <w:szCs w:val="24"/>
        </w:rPr>
        <w:t xml:space="preserve"> of Charlo t</w:t>
      </w:r>
      <w:r w:rsidR="00533AB8">
        <w:rPr>
          <w:szCs w:val="24"/>
        </w:rPr>
        <w:t xml:space="preserve">hrough to the end of </w:t>
      </w:r>
      <w:proofErr w:type="spellStart"/>
      <w:r w:rsidR="00533AB8">
        <w:rPr>
          <w:szCs w:val="24"/>
        </w:rPr>
        <w:t>Belledune</w:t>
      </w:r>
      <w:proofErr w:type="spellEnd"/>
      <w:r w:rsidR="00F1725F">
        <w:rPr>
          <w:szCs w:val="24"/>
        </w:rPr>
        <w:t>.</w:t>
      </w:r>
      <w:r w:rsidR="00291A6F">
        <w:rPr>
          <w:szCs w:val="24"/>
        </w:rPr>
        <w:t xml:space="preserve"> I</w:t>
      </w:r>
      <w:r w:rsidR="006D79E7">
        <w:rPr>
          <w:szCs w:val="24"/>
        </w:rPr>
        <w:t>ts</w:t>
      </w:r>
      <w:r w:rsidR="006076DA">
        <w:rPr>
          <w:szCs w:val="24"/>
        </w:rPr>
        <w:t xml:space="preserve"> western</w:t>
      </w:r>
      <w:r w:rsidR="009749E0">
        <w:rPr>
          <w:szCs w:val="24"/>
        </w:rPr>
        <w:t xml:space="preserve">, southern, and eastern </w:t>
      </w:r>
      <w:r w:rsidR="006D79E7">
        <w:rPr>
          <w:szCs w:val="24"/>
        </w:rPr>
        <w:t>boundar</w:t>
      </w:r>
      <w:r w:rsidR="009749E0">
        <w:rPr>
          <w:szCs w:val="24"/>
        </w:rPr>
        <w:t>ies</w:t>
      </w:r>
      <w:r w:rsidR="006D79E7">
        <w:rPr>
          <w:szCs w:val="24"/>
        </w:rPr>
        <w:t xml:space="preserve"> </w:t>
      </w:r>
      <w:r w:rsidR="00291A6F">
        <w:rPr>
          <w:szCs w:val="24"/>
        </w:rPr>
        <w:t xml:space="preserve">would then follow the </w:t>
      </w:r>
      <w:r w:rsidR="00D30F51">
        <w:rPr>
          <w:szCs w:val="24"/>
        </w:rPr>
        <w:t>parish line</w:t>
      </w:r>
      <w:r w:rsidR="009749E0">
        <w:rPr>
          <w:szCs w:val="24"/>
        </w:rPr>
        <w:t>s</w:t>
      </w:r>
      <w:r w:rsidR="008E1994">
        <w:rPr>
          <w:szCs w:val="24"/>
        </w:rPr>
        <w:t xml:space="preserve">. The eastern boundary, however, </w:t>
      </w:r>
      <w:r w:rsidR="006D79E7">
        <w:rPr>
          <w:szCs w:val="24"/>
        </w:rPr>
        <w:t>would</w:t>
      </w:r>
      <w:r w:rsidR="008E1994">
        <w:rPr>
          <w:szCs w:val="24"/>
        </w:rPr>
        <w:t xml:space="preserve"> not run along but</w:t>
      </w:r>
      <w:r w:rsidR="006D79E7">
        <w:rPr>
          <w:szCs w:val="24"/>
        </w:rPr>
        <w:t xml:space="preserve"> parallel the Balmoral </w:t>
      </w:r>
      <w:r w:rsidR="00016D0A">
        <w:rPr>
          <w:szCs w:val="24"/>
        </w:rPr>
        <w:t xml:space="preserve">parish line, </w:t>
      </w:r>
      <w:r w:rsidR="00E91E4B">
        <w:rPr>
          <w:szCs w:val="24"/>
        </w:rPr>
        <w:t xml:space="preserve">sitting </w:t>
      </w:r>
      <w:r w:rsidR="00016D0A">
        <w:rPr>
          <w:szCs w:val="24"/>
        </w:rPr>
        <w:t xml:space="preserve">approximately 4 </w:t>
      </w:r>
      <w:r w:rsidR="004F4AC5">
        <w:rPr>
          <w:szCs w:val="24"/>
        </w:rPr>
        <w:t>kms</w:t>
      </w:r>
      <w:r w:rsidR="00016D0A">
        <w:rPr>
          <w:szCs w:val="24"/>
        </w:rPr>
        <w:t xml:space="preserve"> eastward of the historical parish line. </w:t>
      </w:r>
    </w:p>
    <w:p w14:paraId="5BEBACFA" w14:textId="786CD52E" w:rsidR="00CF02AF" w:rsidRPr="00416A76" w:rsidRDefault="249DB127" w:rsidP="00416A76">
      <w:pPr>
        <w:rPr>
          <w:rFonts w:eastAsia="Times New Roman"/>
          <w:b/>
          <w:bCs/>
        </w:rPr>
      </w:pPr>
      <w:r w:rsidRPr="00416A76">
        <w:rPr>
          <w:rFonts w:eastAsia="Times New Roman"/>
          <w:b/>
          <w:bCs/>
        </w:rPr>
        <w:t>Demographic Base</w:t>
      </w:r>
    </w:p>
    <w:p w14:paraId="7E9CE1F7" w14:textId="7A10EC73" w:rsidR="00CF02AF" w:rsidRPr="00B45B1A" w:rsidRDefault="524E733E" w:rsidP="47626E9A">
      <w:pPr>
        <w:rPr>
          <w:rFonts w:eastAsia="Times New Roman"/>
          <w:color w:val="000000" w:themeColor="text1"/>
          <w:szCs w:val="24"/>
        </w:rPr>
      </w:pPr>
      <w:r w:rsidRPr="524E733E">
        <w:rPr>
          <w:rFonts w:eastAsia="Times New Roman"/>
          <w:color w:val="000000" w:themeColor="text1"/>
          <w:szCs w:val="24"/>
        </w:rPr>
        <w:t>The total population of the municipal</w:t>
      </w:r>
      <w:r w:rsidR="002F42D3">
        <w:rPr>
          <w:szCs w:val="24"/>
        </w:rPr>
        <w:t xml:space="preserve">ity </w:t>
      </w:r>
      <w:r w:rsidRPr="524E733E">
        <w:rPr>
          <w:rFonts w:eastAsia="Times New Roman"/>
          <w:color w:val="000000" w:themeColor="text1"/>
          <w:szCs w:val="24"/>
        </w:rPr>
        <w:t xml:space="preserve">would be approximately </w:t>
      </w:r>
      <w:r w:rsidR="00BC093F">
        <w:rPr>
          <w:szCs w:val="24"/>
        </w:rPr>
        <w:t>1,400</w:t>
      </w:r>
      <w:r w:rsidR="00AC341A" w:rsidRPr="00D27FE3">
        <w:rPr>
          <w:szCs w:val="24"/>
        </w:rPr>
        <w:t xml:space="preserve"> – down from </w:t>
      </w:r>
      <w:r w:rsidR="005C7D2E">
        <w:rPr>
          <w:szCs w:val="24"/>
        </w:rPr>
        <w:t>1,</w:t>
      </w:r>
      <w:r w:rsidR="001D0FE3">
        <w:rPr>
          <w:szCs w:val="24"/>
        </w:rPr>
        <w:t xml:space="preserve">500 </w:t>
      </w:r>
      <w:r w:rsidR="00AC341A" w:rsidRPr="00D27FE3">
        <w:rPr>
          <w:szCs w:val="24"/>
        </w:rPr>
        <w:t>in 2011</w:t>
      </w:r>
      <w:r w:rsidR="009F520A">
        <w:rPr>
          <w:szCs w:val="24"/>
        </w:rPr>
        <w:t>.</w:t>
      </w:r>
      <w:r w:rsidR="009F520A">
        <w:rPr>
          <w:rFonts w:eastAsia="Times New Roman"/>
          <w:color w:val="000000" w:themeColor="text1"/>
          <w:szCs w:val="24"/>
        </w:rPr>
        <w:t xml:space="preserve"> </w:t>
      </w:r>
      <w:r w:rsidRPr="524E733E">
        <w:rPr>
          <w:rFonts w:eastAsia="Times New Roman"/>
          <w:color w:val="000000" w:themeColor="text1"/>
          <w:szCs w:val="24"/>
        </w:rPr>
        <w:t xml:space="preserve">Entity </w:t>
      </w:r>
      <w:r w:rsidR="005C7D2E">
        <w:rPr>
          <w:rFonts w:eastAsia="Times New Roman"/>
          <w:color w:val="000000" w:themeColor="text1"/>
          <w:szCs w:val="24"/>
        </w:rPr>
        <w:t xml:space="preserve">9 </w:t>
      </w:r>
      <w:r w:rsidRPr="524E733E">
        <w:rPr>
          <w:rFonts w:eastAsia="Times New Roman"/>
          <w:color w:val="000000" w:themeColor="text1"/>
          <w:szCs w:val="24"/>
        </w:rPr>
        <w:t xml:space="preserve">would </w:t>
      </w:r>
      <w:r w:rsidR="005C7D2E">
        <w:rPr>
          <w:rFonts w:eastAsia="Times New Roman"/>
          <w:color w:val="000000" w:themeColor="text1"/>
          <w:szCs w:val="24"/>
        </w:rPr>
        <w:t xml:space="preserve">not </w:t>
      </w:r>
      <w:r w:rsidR="003F2CD7">
        <w:rPr>
          <w:rFonts w:eastAsia="Times New Roman"/>
          <w:color w:val="000000" w:themeColor="text1"/>
          <w:szCs w:val="24"/>
        </w:rPr>
        <w:t>be</w:t>
      </w:r>
      <w:r w:rsidR="003F2CD7" w:rsidRPr="524E733E">
        <w:rPr>
          <w:rFonts w:eastAsia="Times New Roman"/>
          <w:color w:val="000000" w:themeColor="text1"/>
          <w:szCs w:val="24"/>
        </w:rPr>
        <w:t xml:space="preserve"> required</w:t>
      </w:r>
      <w:r w:rsidRPr="524E733E">
        <w:rPr>
          <w:rFonts w:eastAsia="Times New Roman"/>
          <w:color w:val="000000" w:themeColor="text1"/>
          <w:szCs w:val="24"/>
        </w:rPr>
        <w:t xml:space="preserve"> to operate bilingually</w:t>
      </w:r>
      <w:r w:rsidR="00DB11A2">
        <w:rPr>
          <w:rFonts w:eastAsia="Times New Roman"/>
          <w:color w:val="000000" w:themeColor="text1"/>
          <w:szCs w:val="24"/>
        </w:rPr>
        <w:t xml:space="preserve"> because </w:t>
      </w:r>
      <w:r w:rsidR="00B45B1A">
        <w:rPr>
          <w:rFonts w:eastAsia="Times New Roman"/>
          <w:color w:val="000000" w:themeColor="text1"/>
          <w:szCs w:val="24"/>
        </w:rPr>
        <w:t>less than 20</w:t>
      </w:r>
      <w:r w:rsidR="00C109BA">
        <w:rPr>
          <w:rFonts w:eastAsia="Times New Roman"/>
          <w:color w:val="000000" w:themeColor="text1"/>
          <w:szCs w:val="24"/>
        </w:rPr>
        <w:t>%</w:t>
      </w:r>
      <w:r w:rsidR="00CC4CA8">
        <w:rPr>
          <w:rFonts w:eastAsia="Times New Roman"/>
          <w:color w:val="000000" w:themeColor="text1"/>
          <w:szCs w:val="24"/>
        </w:rPr>
        <w:t xml:space="preserve"> of the population are </w:t>
      </w:r>
      <w:r w:rsidR="00FB2933">
        <w:rPr>
          <w:rFonts w:eastAsia="Times New Roman"/>
          <w:color w:val="000000" w:themeColor="text1"/>
          <w:szCs w:val="24"/>
        </w:rPr>
        <w:t>francophones</w:t>
      </w:r>
      <w:r w:rsidR="00CC4CA8">
        <w:rPr>
          <w:rFonts w:eastAsia="Times New Roman"/>
          <w:color w:val="000000" w:themeColor="text1"/>
          <w:szCs w:val="24"/>
        </w:rPr>
        <w:t>.</w:t>
      </w:r>
    </w:p>
    <w:p w14:paraId="3DFE03FB" w14:textId="5C72AE79" w:rsidR="00CF02AF" w:rsidRDefault="002271ED" w:rsidP="47626E9A">
      <w:pPr>
        <w:rPr>
          <w:rFonts w:eastAsia="Times New Roman"/>
          <w:color w:val="000000" w:themeColor="text1"/>
          <w:szCs w:val="24"/>
        </w:rPr>
      </w:pPr>
      <w:r>
        <w:rPr>
          <w:rFonts w:eastAsia="Times New Roman"/>
          <w:color w:val="000000" w:themeColor="text1"/>
          <w:szCs w:val="24"/>
        </w:rPr>
        <w:t>The unification of the populations</w:t>
      </w:r>
      <w:r w:rsidR="00EA0382">
        <w:rPr>
          <w:rFonts w:eastAsia="Times New Roman"/>
          <w:color w:val="000000" w:themeColor="text1"/>
          <w:szCs w:val="24"/>
        </w:rPr>
        <w:t xml:space="preserve"> of Entity 9</w:t>
      </w:r>
      <w:r>
        <w:rPr>
          <w:rFonts w:eastAsia="Times New Roman"/>
          <w:color w:val="000000" w:themeColor="text1"/>
          <w:szCs w:val="24"/>
        </w:rPr>
        <w:t xml:space="preserve"> communities would improve the state of local democratic institutions.</w:t>
      </w:r>
      <w:r w:rsidR="00EA0382">
        <w:rPr>
          <w:rFonts w:eastAsia="Times New Roman"/>
          <w:color w:val="000000" w:themeColor="text1"/>
          <w:szCs w:val="24"/>
        </w:rPr>
        <w:t xml:space="preserve"> When amalgamations or annexations are proposed, </w:t>
      </w:r>
      <w:r w:rsidR="00353320">
        <w:rPr>
          <w:rFonts w:eastAsia="Times New Roman"/>
          <w:color w:val="000000" w:themeColor="text1"/>
          <w:szCs w:val="24"/>
        </w:rPr>
        <w:t>it is often the more sparsely populated areas who fear becoming tyrannized</w:t>
      </w:r>
      <w:r w:rsidR="00A97482">
        <w:rPr>
          <w:rFonts w:eastAsia="Times New Roman"/>
          <w:color w:val="000000" w:themeColor="text1"/>
          <w:szCs w:val="24"/>
        </w:rPr>
        <w:t xml:space="preserve"> </w:t>
      </w:r>
      <w:r w:rsidR="005831B9">
        <w:rPr>
          <w:rFonts w:eastAsia="Times New Roman"/>
          <w:color w:val="000000" w:themeColor="text1"/>
          <w:szCs w:val="24"/>
        </w:rPr>
        <w:t>by the whims of</w:t>
      </w:r>
      <w:r w:rsidR="00A97482">
        <w:rPr>
          <w:rFonts w:eastAsia="Times New Roman"/>
          <w:color w:val="000000" w:themeColor="text1"/>
          <w:szCs w:val="24"/>
        </w:rPr>
        <w:t xml:space="preserve"> larger population </w:t>
      </w:r>
      <w:proofErr w:type="spellStart"/>
      <w:r w:rsidR="005831B9">
        <w:rPr>
          <w:rFonts w:eastAsia="Times New Roman"/>
          <w:color w:val="000000" w:themeColor="text1"/>
          <w:szCs w:val="24"/>
        </w:rPr>
        <w:t>centres</w:t>
      </w:r>
      <w:proofErr w:type="spellEnd"/>
      <w:r w:rsidR="005831B9">
        <w:rPr>
          <w:rFonts w:eastAsia="Times New Roman"/>
          <w:color w:val="000000" w:themeColor="text1"/>
          <w:szCs w:val="24"/>
        </w:rPr>
        <w:t xml:space="preserve"> </w:t>
      </w:r>
      <w:r w:rsidR="00A97482">
        <w:rPr>
          <w:rFonts w:eastAsia="Times New Roman"/>
          <w:color w:val="000000" w:themeColor="text1"/>
          <w:szCs w:val="24"/>
        </w:rPr>
        <w:t>should they lose their independence.</w:t>
      </w:r>
      <w:r>
        <w:rPr>
          <w:rFonts w:eastAsia="Times New Roman"/>
          <w:color w:val="000000" w:themeColor="text1"/>
          <w:szCs w:val="24"/>
        </w:rPr>
        <w:t xml:space="preserve"> </w:t>
      </w:r>
      <w:r w:rsidR="005831B9">
        <w:rPr>
          <w:rFonts w:eastAsia="Times New Roman"/>
          <w:color w:val="000000" w:themeColor="text1"/>
          <w:szCs w:val="24"/>
        </w:rPr>
        <w:t xml:space="preserve">Likewise, </w:t>
      </w:r>
      <w:r w:rsidR="00084A8C">
        <w:rPr>
          <w:rFonts w:eastAsia="Times New Roman"/>
          <w:color w:val="000000" w:themeColor="text1"/>
          <w:szCs w:val="24"/>
        </w:rPr>
        <w:t xml:space="preserve">bigger population </w:t>
      </w:r>
      <w:proofErr w:type="spellStart"/>
      <w:r w:rsidR="00084A8C">
        <w:rPr>
          <w:rFonts w:eastAsia="Times New Roman"/>
          <w:color w:val="000000" w:themeColor="text1"/>
          <w:szCs w:val="24"/>
        </w:rPr>
        <w:t>centres</w:t>
      </w:r>
      <w:proofErr w:type="spellEnd"/>
      <w:r w:rsidR="00084A8C">
        <w:rPr>
          <w:rFonts w:eastAsia="Times New Roman"/>
          <w:color w:val="000000" w:themeColor="text1"/>
          <w:szCs w:val="24"/>
        </w:rPr>
        <w:t xml:space="preserve"> fear allocating disproportionate influence </w:t>
      </w:r>
      <w:r w:rsidR="00B1630A">
        <w:rPr>
          <w:rFonts w:eastAsia="Times New Roman"/>
          <w:color w:val="000000" w:themeColor="text1"/>
          <w:szCs w:val="24"/>
        </w:rPr>
        <w:t>to small rural adjuncts. While both fears are legitimate</w:t>
      </w:r>
      <w:r w:rsidR="001B0B29">
        <w:rPr>
          <w:rFonts w:eastAsia="Times New Roman"/>
          <w:color w:val="000000" w:themeColor="text1"/>
          <w:szCs w:val="24"/>
        </w:rPr>
        <w:t xml:space="preserve">, neither appreciate the significant benefit to self-governance that a larger and more </w:t>
      </w:r>
      <w:r w:rsidR="00AB4070">
        <w:rPr>
          <w:rFonts w:eastAsia="Times New Roman"/>
          <w:color w:val="000000" w:themeColor="text1"/>
          <w:szCs w:val="24"/>
        </w:rPr>
        <w:t xml:space="preserve">diverse population </w:t>
      </w:r>
      <w:r w:rsidR="00AB4070">
        <w:rPr>
          <w:rFonts w:eastAsia="Times New Roman"/>
          <w:color w:val="000000" w:themeColor="text1"/>
          <w:szCs w:val="24"/>
        </w:rPr>
        <w:lastRenderedPageBreak/>
        <w:t>can bring.</w:t>
      </w:r>
      <w:r w:rsidR="00404323">
        <w:rPr>
          <w:rFonts w:eastAsia="Times New Roman"/>
          <w:color w:val="000000" w:themeColor="text1"/>
          <w:szCs w:val="24"/>
        </w:rPr>
        <w:t xml:space="preserve"> </w:t>
      </w:r>
      <w:r w:rsidR="006F5B06">
        <w:rPr>
          <w:rFonts w:eastAsia="Times New Roman"/>
          <w:color w:val="000000" w:themeColor="text1"/>
          <w:szCs w:val="24"/>
        </w:rPr>
        <w:t xml:space="preserve">The mutual desire to be </w:t>
      </w:r>
      <w:r w:rsidR="006D6CC8">
        <w:rPr>
          <w:rFonts w:eastAsia="Times New Roman"/>
          <w:color w:val="000000" w:themeColor="text1"/>
          <w:szCs w:val="24"/>
        </w:rPr>
        <w:t xml:space="preserve">given fair representation is a major impetus for voter participation. </w:t>
      </w:r>
      <w:proofErr w:type="spellStart"/>
      <w:r w:rsidR="00BD1921">
        <w:rPr>
          <w:rFonts w:eastAsia="Times New Roman"/>
          <w:color w:val="000000" w:themeColor="text1"/>
          <w:szCs w:val="24"/>
        </w:rPr>
        <w:t>Belledune</w:t>
      </w:r>
      <w:proofErr w:type="spellEnd"/>
      <w:r w:rsidR="00BD1921">
        <w:rPr>
          <w:rFonts w:eastAsia="Times New Roman"/>
          <w:color w:val="000000" w:themeColor="text1"/>
          <w:szCs w:val="24"/>
        </w:rPr>
        <w:t xml:space="preserve"> already has a remarkable voter turnout rate of 72%</w:t>
      </w:r>
      <w:r w:rsidR="004E74B9">
        <w:rPr>
          <w:rFonts w:eastAsia="Times New Roman"/>
          <w:color w:val="000000" w:themeColor="text1"/>
          <w:szCs w:val="24"/>
        </w:rPr>
        <w:t xml:space="preserve">. It is </w:t>
      </w:r>
      <w:r w:rsidR="00554DAB">
        <w:rPr>
          <w:rFonts w:eastAsia="Times New Roman"/>
          <w:color w:val="000000" w:themeColor="text1"/>
          <w:szCs w:val="24"/>
        </w:rPr>
        <w:t>conceivable</w:t>
      </w:r>
      <w:r w:rsidR="004E74B9">
        <w:rPr>
          <w:rFonts w:eastAsia="Times New Roman"/>
          <w:color w:val="000000" w:themeColor="text1"/>
          <w:szCs w:val="24"/>
        </w:rPr>
        <w:t xml:space="preserve"> that if given the vote, the surrounding communities may follow the example of their </w:t>
      </w:r>
      <w:proofErr w:type="spellStart"/>
      <w:r w:rsidR="004E74B9">
        <w:rPr>
          <w:rFonts w:eastAsia="Times New Roman"/>
          <w:color w:val="000000" w:themeColor="text1"/>
          <w:szCs w:val="24"/>
        </w:rPr>
        <w:t>neighbours</w:t>
      </w:r>
      <w:proofErr w:type="spellEnd"/>
      <w:r w:rsidR="004E74B9">
        <w:rPr>
          <w:rFonts w:eastAsia="Times New Roman"/>
          <w:color w:val="000000" w:themeColor="text1"/>
          <w:szCs w:val="24"/>
        </w:rPr>
        <w:t xml:space="preserve"> – especially when </w:t>
      </w:r>
      <w:r w:rsidR="006C2F31">
        <w:rPr>
          <w:rFonts w:eastAsia="Times New Roman"/>
          <w:color w:val="000000" w:themeColor="text1"/>
          <w:szCs w:val="24"/>
        </w:rPr>
        <w:t xml:space="preserve">motivated by the threat of being governed </w:t>
      </w:r>
      <w:r w:rsidR="00745B31">
        <w:rPr>
          <w:rFonts w:eastAsia="Times New Roman"/>
          <w:color w:val="000000" w:themeColor="text1"/>
          <w:szCs w:val="24"/>
        </w:rPr>
        <w:t>at the whim of a more urban population</w:t>
      </w:r>
      <w:r w:rsidR="00554DAB">
        <w:rPr>
          <w:rFonts w:eastAsia="Times New Roman"/>
          <w:color w:val="000000" w:themeColor="text1"/>
          <w:szCs w:val="24"/>
        </w:rPr>
        <w:t xml:space="preserve">. </w:t>
      </w:r>
    </w:p>
    <w:p w14:paraId="1773A20F" w14:textId="1CDCFFDA" w:rsidR="00F44A5F" w:rsidRDefault="00745B31" w:rsidP="47626E9A">
      <w:pPr>
        <w:rPr>
          <w:rFonts w:eastAsia="Times New Roman"/>
          <w:color w:val="000000" w:themeColor="text1"/>
          <w:szCs w:val="24"/>
        </w:rPr>
      </w:pPr>
      <w:r>
        <w:rPr>
          <w:rFonts w:eastAsia="Times New Roman"/>
          <w:color w:val="000000" w:themeColor="text1"/>
          <w:szCs w:val="24"/>
        </w:rPr>
        <w:t>There</w:t>
      </w:r>
      <w:r w:rsidR="00F44A5F">
        <w:rPr>
          <w:rFonts w:eastAsia="Times New Roman"/>
          <w:color w:val="000000" w:themeColor="text1"/>
          <w:szCs w:val="24"/>
        </w:rPr>
        <w:t xml:space="preserve"> is precedent for recently incorporated areas </w:t>
      </w:r>
      <w:r w:rsidR="00766F91">
        <w:rPr>
          <w:rFonts w:eastAsia="Times New Roman"/>
          <w:color w:val="000000" w:themeColor="text1"/>
          <w:szCs w:val="24"/>
        </w:rPr>
        <w:t>reporting</w:t>
      </w:r>
      <w:r w:rsidR="00F44A5F">
        <w:rPr>
          <w:rFonts w:eastAsia="Times New Roman"/>
          <w:color w:val="000000" w:themeColor="text1"/>
          <w:szCs w:val="24"/>
        </w:rPr>
        <w:t xml:space="preserve"> </w:t>
      </w:r>
      <w:r w:rsidR="00766F91">
        <w:rPr>
          <w:rFonts w:eastAsia="Times New Roman"/>
          <w:color w:val="000000" w:themeColor="text1"/>
          <w:szCs w:val="24"/>
        </w:rPr>
        <w:t>higher than average</w:t>
      </w:r>
      <w:r w:rsidR="00F44A5F">
        <w:rPr>
          <w:rFonts w:eastAsia="Times New Roman"/>
          <w:color w:val="000000" w:themeColor="text1"/>
          <w:szCs w:val="24"/>
        </w:rPr>
        <w:t xml:space="preserve"> voter turnout rates</w:t>
      </w:r>
      <w:r w:rsidR="00617A63">
        <w:rPr>
          <w:rFonts w:eastAsia="Times New Roman"/>
          <w:color w:val="000000" w:themeColor="text1"/>
          <w:szCs w:val="24"/>
        </w:rPr>
        <w:t xml:space="preserve"> which help keep elections competitive, representative, and accountable</w:t>
      </w:r>
      <w:r w:rsidR="00F44A5F">
        <w:rPr>
          <w:rFonts w:eastAsia="Times New Roman"/>
          <w:color w:val="000000" w:themeColor="text1"/>
          <w:szCs w:val="24"/>
        </w:rPr>
        <w:t xml:space="preserve">. The </w:t>
      </w:r>
      <w:r w:rsidR="00F44A5F" w:rsidRPr="47626E9A">
        <w:rPr>
          <w:rFonts w:eastAsia="Times New Roman"/>
          <w:color w:val="000000" w:themeColor="text1"/>
          <w:szCs w:val="24"/>
        </w:rPr>
        <w:t xml:space="preserve">relatively novel Rural Communities, being given a representative local government for the first time since the 1960s, have reported higher than average voter turnout rates with the exceptions of Hanwell and Campobello. The average rate across all 7 communities was 55.42%, but the highest among the class, </w:t>
      </w:r>
      <w:proofErr w:type="spellStart"/>
      <w:r w:rsidR="00F44A5F" w:rsidRPr="47626E9A">
        <w:rPr>
          <w:rFonts w:eastAsia="Times New Roman"/>
          <w:color w:val="000000" w:themeColor="text1"/>
          <w:szCs w:val="24"/>
        </w:rPr>
        <w:t>Kedgwick</w:t>
      </w:r>
      <w:proofErr w:type="spellEnd"/>
      <w:r w:rsidR="00F44A5F" w:rsidRPr="47626E9A">
        <w:rPr>
          <w:rFonts w:eastAsia="Times New Roman"/>
          <w:color w:val="000000" w:themeColor="text1"/>
          <w:szCs w:val="24"/>
        </w:rPr>
        <w:t>, had a turnout rate of</w:t>
      </w:r>
      <w:r w:rsidR="00F44A5F" w:rsidRPr="47626E9A">
        <w:rPr>
          <w:rFonts w:eastAsia="Times New Roman"/>
          <w:szCs w:val="24"/>
        </w:rPr>
        <w:t xml:space="preserve"> 73.69%! It could be anticipated, therefore, that the currently unincorporated areas of Entity </w:t>
      </w:r>
      <w:r w:rsidR="005429A8">
        <w:rPr>
          <w:rFonts w:eastAsia="Times New Roman"/>
          <w:szCs w:val="24"/>
        </w:rPr>
        <w:t>8</w:t>
      </w:r>
      <w:r w:rsidR="00F44A5F" w:rsidRPr="47626E9A">
        <w:rPr>
          <w:rFonts w:eastAsia="Times New Roman"/>
          <w:szCs w:val="24"/>
        </w:rPr>
        <w:t xml:space="preserve"> would bring a good deal of competition to the municipality’s elections, guaranteeing a vibrant democratic community. </w:t>
      </w:r>
    </w:p>
    <w:p w14:paraId="1D11D324" w14:textId="0AF1C4BD" w:rsidR="00CF02AF" w:rsidRPr="000238B0" w:rsidRDefault="249DB127" w:rsidP="000238B0">
      <w:pPr>
        <w:rPr>
          <w:rFonts w:eastAsia="Times New Roman"/>
          <w:b/>
          <w:bCs/>
          <w:szCs w:val="24"/>
        </w:rPr>
      </w:pPr>
      <w:r w:rsidRPr="000238B0">
        <w:rPr>
          <w:rFonts w:eastAsia="Times New Roman"/>
          <w:b/>
          <w:bCs/>
          <w:szCs w:val="24"/>
        </w:rPr>
        <w:t>Financial Base</w:t>
      </w:r>
    </w:p>
    <w:p w14:paraId="64CB790F" w14:textId="5D2328EC" w:rsidR="00CF02AF" w:rsidRDefault="249DB127" w:rsidP="747E053B">
      <w:r>
        <w:t xml:space="preserve">Entity </w:t>
      </w:r>
      <w:r w:rsidR="003C6C3D">
        <w:t xml:space="preserve">9 </w:t>
      </w:r>
      <w:r>
        <w:t xml:space="preserve">will also have a financial base capable of service provision beyond a simple aggregation of the assessed value of each constituent municipality and LSD. Under the new framework, municipal revenues will come from a combination of equalization payments from the provincial government, municipal property taxes, and other user fees related to services like water and wastewater usage. </w:t>
      </w:r>
    </w:p>
    <w:p w14:paraId="78ADB5F8" w14:textId="76D0E3FC" w:rsidR="00CF02AF" w:rsidRPr="00D32BF5" w:rsidRDefault="249DB127" w:rsidP="249DB127">
      <w:pPr>
        <w:rPr>
          <w:rFonts w:eastAsia="Times New Roman"/>
          <w:color w:val="000000"/>
          <w:sz w:val="20"/>
          <w:szCs w:val="20"/>
          <w:lang w:val="en-CA" w:eastAsia="en-CA"/>
        </w:rPr>
      </w:pPr>
      <w:r>
        <w:t>Because its population is be</w:t>
      </w:r>
      <w:r w:rsidR="00B92E93">
        <w:t>low</w:t>
      </w:r>
      <w:r>
        <w:t xml:space="preserve"> 10000, Entity </w:t>
      </w:r>
      <w:r w:rsidR="00123245">
        <w:t>9</w:t>
      </w:r>
      <w:r>
        <w:t xml:space="preserve"> would qualify as a ‘Group </w:t>
      </w:r>
      <w:r w:rsidR="00B92E93">
        <w:t>A’</w:t>
      </w:r>
      <w:r>
        <w:t xml:space="preserve"> municipality. </w:t>
      </w:r>
      <w:r w:rsidR="007949DB">
        <w:t xml:space="preserve">Accordingly, because its property assessment base per capita is greater than the group average, the entity </w:t>
      </w:r>
      <w:r w:rsidR="007949DB" w:rsidRPr="00B563E9">
        <w:rPr>
          <w:szCs w:val="24"/>
        </w:rPr>
        <w:t>would</w:t>
      </w:r>
      <w:r w:rsidR="007949DB">
        <w:rPr>
          <w:szCs w:val="24"/>
        </w:rPr>
        <w:t xml:space="preserve"> not</w:t>
      </w:r>
      <w:r w:rsidR="007949DB" w:rsidRPr="00B563E9">
        <w:rPr>
          <w:szCs w:val="24"/>
        </w:rPr>
        <w:t xml:space="preserve"> receive </w:t>
      </w:r>
      <w:r w:rsidR="007949DB" w:rsidRPr="00AA216A">
        <w:rPr>
          <w:rFonts w:eastAsia="Times New Roman"/>
          <w:color w:val="000000"/>
          <w:szCs w:val="24"/>
          <w:lang w:val="en-CA" w:eastAsia="en-CA"/>
        </w:rPr>
        <w:t xml:space="preserve">an </w:t>
      </w:r>
      <w:r w:rsidR="007949DB">
        <w:rPr>
          <w:rFonts w:eastAsia="Times New Roman"/>
          <w:color w:val="000000"/>
          <w:szCs w:val="24"/>
          <w:lang w:val="en-CA" w:eastAsia="en-CA"/>
        </w:rPr>
        <w:t xml:space="preserve">annual </w:t>
      </w:r>
      <w:r w:rsidR="007949DB" w:rsidRPr="00AA216A">
        <w:rPr>
          <w:rFonts w:eastAsia="Times New Roman"/>
          <w:color w:val="000000"/>
          <w:szCs w:val="24"/>
          <w:lang w:val="en-CA" w:eastAsia="en-CA"/>
        </w:rPr>
        <w:t>equalization grant.</w:t>
      </w:r>
      <w:r w:rsidR="007949DB">
        <w:rPr>
          <w:rFonts w:eastAsia="Times New Roman"/>
          <w:color w:val="000000"/>
          <w:sz w:val="22"/>
          <w:lang w:val="en-CA" w:eastAsia="en-CA"/>
        </w:rPr>
        <w:t xml:space="preserve"> </w:t>
      </w:r>
      <w:r w:rsidR="007949DB">
        <w:t xml:space="preserve">With the tax room transfer from the provincial government to municipal governments included in the proposed new framework, Entity </w:t>
      </w:r>
      <w:r w:rsidR="00D32BF5">
        <w:t>9</w:t>
      </w:r>
      <w:r w:rsidR="007949DB">
        <w:t xml:space="preserve">’s assessment </w:t>
      </w:r>
      <w:r w:rsidR="007949DB" w:rsidRPr="00AC4426">
        <w:rPr>
          <w:szCs w:val="24"/>
        </w:rPr>
        <w:t xml:space="preserve">base </w:t>
      </w:r>
      <w:r w:rsidR="007949DB" w:rsidRPr="00D32BF5">
        <w:rPr>
          <w:szCs w:val="24"/>
        </w:rPr>
        <w:t xml:space="preserve">of </w:t>
      </w:r>
      <w:r w:rsidR="00D32BF5" w:rsidRPr="00D32BF5">
        <w:rPr>
          <w:rFonts w:eastAsia="Times New Roman"/>
          <w:color w:val="000000"/>
          <w:szCs w:val="24"/>
          <w:lang w:val="en-CA" w:eastAsia="en-CA"/>
        </w:rPr>
        <w:t xml:space="preserve">$385,385,800 </w:t>
      </w:r>
      <w:r w:rsidR="007949DB" w:rsidRPr="00D32BF5">
        <w:rPr>
          <w:szCs w:val="24"/>
        </w:rPr>
        <w:t>would</w:t>
      </w:r>
      <w:r w:rsidR="007949DB">
        <w:t xml:space="preserve"> be able to yield more revenue than it could under the current local governance regime. Equal Opportunity among municipalities remains a priority in the new framework, but the primary guarantor of said equality is now tax warrants rather than equalization payments.</w:t>
      </w:r>
    </w:p>
    <w:p w14:paraId="1F56D449" w14:textId="7C2216EB" w:rsidR="00CF02AF" w:rsidRDefault="249DB127" w:rsidP="249DB127">
      <w:pPr>
        <w:rPr>
          <w:rFonts w:eastAsia="Times New Roman"/>
          <w:szCs w:val="24"/>
        </w:rPr>
      </w:pPr>
      <w:r>
        <w:t xml:space="preserve">Of course, this tax room transfer does not necessitate that property tax rates will increase by $1.50 per $100 of valuation across Entity </w:t>
      </w:r>
      <w:r w:rsidR="00AE493B">
        <w:t>9</w:t>
      </w:r>
      <w:r w:rsidR="007B6555">
        <w:t>,</w:t>
      </w:r>
      <w:r>
        <w:t xml:space="preserve"> nor does it indicate that the entire municipality will operate with one universal property tax rate. </w:t>
      </w:r>
      <w:r w:rsidRPr="249DB127">
        <w:rPr>
          <w:rFonts w:eastAsia="Times New Roman"/>
          <w:szCs w:val="24"/>
        </w:rPr>
        <w:t xml:space="preserve">Because Entity </w:t>
      </w:r>
      <w:r w:rsidR="00AE493B">
        <w:rPr>
          <w:rFonts w:eastAsia="Times New Roman"/>
          <w:szCs w:val="24"/>
        </w:rPr>
        <w:t>9</w:t>
      </w:r>
      <w:r w:rsidRPr="249DB127">
        <w:rPr>
          <w:rFonts w:eastAsia="Times New Roman"/>
          <w:szCs w:val="24"/>
        </w:rPr>
        <w:t xml:space="preserve"> would be composed of suburban and rural populations and since the level of local services may vary considerably within the same municipality, existing provisions regarding differentiated tax rates within the same municipality would need to be used. Residents within each municipality should be taxed for the level of services they receive.</w:t>
      </w:r>
      <w:r w:rsidR="00BB70AE" w:rsidRPr="249DB127">
        <w:rPr>
          <w:rStyle w:val="FootnoteReference"/>
          <w:rFonts w:eastAsia="Times New Roman"/>
          <w:szCs w:val="24"/>
        </w:rPr>
        <w:footnoteReference w:id="2"/>
      </w:r>
    </w:p>
    <w:p w14:paraId="245D97A2" w14:textId="4B162314" w:rsidR="00CF02AF" w:rsidRDefault="249DB127" w:rsidP="747E053B">
      <w:r>
        <w:t xml:space="preserve">As has been seen in many municipalities around the province, municipalities can adopt differing tax rates for different areas under their jurisdiction. For example, </w:t>
      </w:r>
      <w:r w:rsidR="005C3DFC">
        <w:t>while</w:t>
      </w:r>
      <w:r>
        <w:t xml:space="preserve"> </w:t>
      </w:r>
      <w:r w:rsidR="005C3DFC">
        <w:t>Eel River Crossing’s</w:t>
      </w:r>
      <w:r>
        <w:t xml:space="preserve"> property tax rate in 2018 was $1.32 per $100, each former LSD had different</w:t>
      </w:r>
      <w:r w:rsidR="00331342">
        <w:t>,</w:t>
      </w:r>
      <w:r>
        <w:t xml:space="preserve"> lower property tax </w:t>
      </w:r>
      <w:r>
        <w:lastRenderedPageBreak/>
        <w:t xml:space="preserve">rates appropriate to their circumstances. Similar situations can be found across the province, with some cities even imposing different tax rates for those inside and outside the urban center. As the communities within Entity </w:t>
      </w:r>
      <w:r w:rsidR="00F92DD1">
        <w:t xml:space="preserve">9 </w:t>
      </w:r>
      <w:r>
        <w:t xml:space="preserve">move forward together, it is entirely possible that each former local governance entity maintain their own respective property tax regimes, though strict adherence to such a scheme would fail to take advantage of the opportunities offered by their amalgamation. </w:t>
      </w:r>
    </w:p>
    <w:p w14:paraId="6CEE9A63" w14:textId="352CB75E" w:rsidR="00CF02AF" w:rsidRDefault="249DB127" w:rsidP="249DB127">
      <w:r>
        <w:t xml:space="preserve">Overall, then, Entity </w:t>
      </w:r>
      <w:r w:rsidR="00F92DD1">
        <w:t>9</w:t>
      </w:r>
      <w:r>
        <w:t xml:space="preserve"> would have a financial base appropriate to its size and population.</w:t>
      </w:r>
      <w:r w:rsidR="00433159">
        <w:t xml:space="preserve"> With such a financial base, </w:t>
      </w:r>
      <w:r w:rsidR="00853E3A">
        <w:t xml:space="preserve">the municipal entity could be as ambitious or cautious in its service provision as its residents please. </w:t>
      </w:r>
    </w:p>
    <w:p w14:paraId="2620A18D" w14:textId="3DE0D980" w:rsidR="00CF02AF" w:rsidRPr="00853E3A" w:rsidRDefault="00853E3A" w:rsidP="000238B0">
      <w:pPr>
        <w:rPr>
          <w:b/>
          <w:bCs/>
        </w:rPr>
      </w:pPr>
      <w:r>
        <w:rPr>
          <w:b/>
          <w:bCs/>
        </w:rPr>
        <w:t xml:space="preserve">Division of </w:t>
      </w:r>
      <w:r w:rsidR="249DB127" w:rsidRPr="00853E3A">
        <w:rPr>
          <w:b/>
          <w:bCs/>
        </w:rPr>
        <w:t>Municipal and Provincial Responsibilities</w:t>
      </w:r>
    </w:p>
    <w:p w14:paraId="744C20B8" w14:textId="6A64E174" w:rsidR="00545006" w:rsidRDefault="00545006" w:rsidP="47626E9A">
      <w:pPr>
        <w:rPr>
          <w:rFonts w:eastAsia="Times New Roman"/>
          <w:szCs w:val="24"/>
        </w:rPr>
      </w:pPr>
      <w:r w:rsidRPr="00226288">
        <w:rPr>
          <w:rFonts w:eastAsia="Times New Roman"/>
          <w:szCs w:val="24"/>
        </w:rPr>
        <w:t xml:space="preserve">In addition to </w:t>
      </w:r>
      <w:r w:rsidRPr="00226288">
        <w:t>policing, emergency measures planning,</w:t>
      </w:r>
      <w:r w:rsidRPr="00226288">
        <w:rPr>
          <w:rFonts w:eastAsia="Times New Roman"/>
          <w:szCs w:val="24"/>
        </w:rPr>
        <w:t xml:space="preserve"> fire prevention and suppression, roads, and garbage disposal, a municipality may choose to enlarge its role and provide a great number of other services. Many municipalities also take responsibility for local arts and culture, parks and recreation, public transportation, and more. Whether or not this sort of expansion is done is entirely up to the residents of </w:t>
      </w:r>
      <w:r>
        <w:rPr>
          <w:rFonts w:eastAsia="Times New Roman"/>
          <w:szCs w:val="24"/>
        </w:rPr>
        <w:t>Entity 9</w:t>
      </w:r>
      <w:r w:rsidRPr="00226288">
        <w:rPr>
          <w:rFonts w:eastAsia="Times New Roman"/>
          <w:szCs w:val="24"/>
        </w:rPr>
        <w:t xml:space="preserve">, and the tax rates of the entity would reflect this level of service. </w:t>
      </w:r>
    </w:p>
    <w:p w14:paraId="4D59037B" w14:textId="3B2A1DD8" w:rsidR="47626E9A" w:rsidRDefault="00622D48" w:rsidP="47626E9A">
      <w:pPr>
        <w:rPr>
          <w:rFonts w:eastAsia="Times New Roman"/>
          <w:szCs w:val="24"/>
        </w:rPr>
      </w:pPr>
      <w:r>
        <w:rPr>
          <w:noProof/>
        </w:rPr>
        <w:drawing>
          <wp:anchor distT="0" distB="0" distL="114300" distR="114300" simplePos="0" relativeHeight="251661312" behindDoc="0" locked="0" layoutInCell="1" allowOverlap="1" wp14:anchorId="6D4F3688" wp14:editId="49EA5A5F">
            <wp:simplePos x="0" y="0"/>
            <wp:positionH relativeFrom="column">
              <wp:posOffset>2204720</wp:posOffset>
            </wp:positionH>
            <wp:positionV relativeFrom="paragraph">
              <wp:posOffset>58420</wp:posOffset>
            </wp:positionV>
            <wp:extent cx="3738880" cy="2830195"/>
            <wp:effectExtent l="0" t="0" r="0" b="8255"/>
            <wp:wrapThrough wrapText="bothSides">
              <wp:wrapPolygon edited="0">
                <wp:start x="0" y="0"/>
                <wp:lineTo x="0" y="21518"/>
                <wp:lineTo x="21461" y="21518"/>
                <wp:lineTo x="2146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38880" cy="2830195"/>
                    </a:xfrm>
                    <a:prstGeom prst="rect">
                      <a:avLst/>
                    </a:prstGeom>
                  </pic:spPr>
                </pic:pic>
              </a:graphicData>
            </a:graphic>
            <wp14:sizeRelH relativeFrom="page">
              <wp14:pctWidth>0</wp14:pctWidth>
            </wp14:sizeRelH>
            <wp14:sizeRelV relativeFrom="page">
              <wp14:pctHeight>0</wp14:pctHeight>
            </wp14:sizeRelV>
          </wp:anchor>
        </w:drawing>
      </w:r>
      <w:r w:rsidR="47626E9A" w:rsidRPr="47626E9A">
        <w:rPr>
          <w:rFonts w:eastAsia="Times New Roman"/>
          <w:szCs w:val="24"/>
        </w:rPr>
        <w:t>Many of these services, however, would be better served being provided at the regional rather than local level. Rather than leaving some services in the care of the province, the new framework provides Regional Service Districts within which municipalities can collaborate on such basic services as policing, waste management,</w:t>
      </w:r>
      <w:r w:rsidR="002821E2">
        <w:rPr>
          <w:rFonts w:eastAsia="Times New Roman"/>
          <w:szCs w:val="24"/>
        </w:rPr>
        <w:t xml:space="preserve"> economic development,</w:t>
      </w:r>
      <w:r w:rsidR="47626E9A" w:rsidRPr="47626E9A">
        <w:rPr>
          <w:rFonts w:eastAsia="Times New Roman"/>
          <w:szCs w:val="24"/>
        </w:rPr>
        <w:t xml:space="preserve"> and land-use planning. Collaboration on these issues will further reduce cost for services, allowing property tax rates to remain at a reasonable rate. </w:t>
      </w:r>
    </w:p>
    <w:p w14:paraId="2F912849" w14:textId="1A561028" w:rsidR="00333276" w:rsidRDefault="00F43A14" w:rsidP="001552CB">
      <w:pPr>
        <w:rPr>
          <w:rFonts w:eastAsia="Times New Roman"/>
          <w:szCs w:val="24"/>
        </w:rPr>
      </w:pPr>
      <w:r>
        <w:rPr>
          <w:rFonts w:eastAsia="Times New Roman"/>
          <w:szCs w:val="24"/>
        </w:rPr>
        <w:t xml:space="preserve">Entity </w:t>
      </w:r>
      <w:r w:rsidR="00A668DA">
        <w:rPr>
          <w:rFonts w:eastAsia="Times New Roman"/>
          <w:szCs w:val="24"/>
        </w:rPr>
        <w:t xml:space="preserve">9 </w:t>
      </w:r>
      <w:r>
        <w:rPr>
          <w:rFonts w:eastAsia="Times New Roman"/>
          <w:szCs w:val="24"/>
        </w:rPr>
        <w:t xml:space="preserve">would belong to RSD 2 along with its </w:t>
      </w:r>
      <w:proofErr w:type="spellStart"/>
      <w:r>
        <w:rPr>
          <w:rFonts w:eastAsia="Times New Roman"/>
          <w:szCs w:val="24"/>
        </w:rPr>
        <w:t>neighbours</w:t>
      </w:r>
      <w:proofErr w:type="spellEnd"/>
      <w:r>
        <w:rPr>
          <w:rFonts w:eastAsia="Times New Roman"/>
          <w:szCs w:val="24"/>
        </w:rPr>
        <w:t xml:space="preserve"> Entities </w:t>
      </w:r>
      <w:r w:rsidR="007105CA">
        <w:rPr>
          <w:rFonts w:eastAsia="Times New Roman"/>
          <w:szCs w:val="24"/>
        </w:rPr>
        <w:t xml:space="preserve">7 and </w:t>
      </w:r>
      <w:r w:rsidR="00A668DA">
        <w:rPr>
          <w:rFonts w:eastAsia="Times New Roman"/>
          <w:szCs w:val="24"/>
        </w:rPr>
        <w:t>8</w:t>
      </w:r>
      <w:r>
        <w:rPr>
          <w:rFonts w:eastAsia="Times New Roman"/>
          <w:szCs w:val="24"/>
        </w:rPr>
        <w:t xml:space="preserve">. These entities are roughly equivalent to the areas surrounding </w:t>
      </w:r>
      <w:proofErr w:type="spellStart"/>
      <w:r w:rsidR="00D41B70">
        <w:rPr>
          <w:rFonts w:eastAsia="Times New Roman"/>
          <w:szCs w:val="24"/>
        </w:rPr>
        <w:t>Campbellton</w:t>
      </w:r>
      <w:proofErr w:type="spellEnd"/>
      <w:r w:rsidR="00D41B70">
        <w:rPr>
          <w:rFonts w:eastAsia="Times New Roman"/>
          <w:szCs w:val="24"/>
        </w:rPr>
        <w:t xml:space="preserve"> </w:t>
      </w:r>
      <w:r w:rsidR="008C082C">
        <w:rPr>
          <w:rFonts w:eastAsia="Times New Roman"/>
          <w:szCs w:val="24"/>
        </w:rPr>
        <w:t xml:space="preserve">and </w:t>
      </w:r>
      <w:r w:rsidR="005F1447">
        <w:rPr>
          <w:rFonts w:eastAsia="Times New Roman"/>
          <w:szCs w:val="24"/>
        </w:rPr>
        <w:t>Dalhousie</w:t>
      </w:r>
      <w:r w:rsidR="00993AFC">
        <w:rPr>
          <w:rFonts w:eastAsia="Times New Roman"/>
          <w:szCs w:val="24"/>
        </w:rPr>
        <w:t xml:space="preserve">, and the RSD covers an area comparable to </w:t>
      </w:r>
      <w:r w:rsidR="001C359A">
        <w:rPr>
          <w:rFonts w:eastAsia="Times New Roman"/>
          <w:szCs w:val="24"/>
        </w:rPr>
        <w:t>the historical Restigouche County</w:t>
      </w:r>
      <w:r w:rsidR="008C082C">
        <w:rPr>
          <w:rFonts w:eastAsia="Times New Roman"/>
          <w:szCs w:val="24"/>
        </w:rPr>
        <w:t xml:space="preserve">. </w:t>
      </w:r>
      <w:r w:rsidR="00333276">
        <w:rPr>
          <w:rFonts w:eastAsia="Times New Roman"/>
          <w:szCs w:val="24"/>
        </w:rPr>
        <w:t xml:space="preserve">As with each municipal entity, RSDs could conceivably be named, but this would be left to each community to determine for itself. </w:t>
      </w:r>
      <w:r w:rsidR="00D41B70">
        <w:rPr>
          <w:rFonts w:eastAsia="Times New Roman"/>
          <w:szCs w:val="24"/>
        </w:rPr>
        <w:t>All three</w:t>
      </w:r>
      <w:r w:rsidR="00333276">
        <w:rPr>
          <w:rFonts w:eastAsia="Times New Roman"/>
          <w:szCs w:val="24"/>
        </w:rPr>
        <w:t xml:space="preserve"> entities would be equal partners in the provision of regional services, with each </w:t>
      </w:r>
      <w:r w:rsidR="001C5420">
        <w:rPr>
          <w:rFonts w:eastAsia="Times New Roman"/>
          <w:szCs w:val="24"/>
        </w:rPr>
        <w:t xml:space="preserve">contributing in accordance with their respective </w:t>
      </w:r>
      <w:r w:rsidR="00333276">
        <w:rPr>
          <w:rFonts w:eastAsia="Times New Roman"/>
          <w:szCs w:val="24"/>
        </w:rPr>
        <w:t>demographic and tax base</w:t>
      </w:r>
      <w:r w:rsidR="001C5420">
        <w:rPr>
          <w:rFonts w:eastAsia="Times New Roman"/>
          <w:szCs w:val="24"/>
        </w:rPr>
        <w:t>s.</w:t>
      </w:r>
      <w:r w:rsidR="00333276">
        <w:rPr>
          <w:rFonts w:eastAsia="Times New Roman"/>
          <w:szCs w:val="24"/>
        </w:rPr>
        <w:t xml:space="preserve"> </w:t>
      </w:r>
    </w:p>
    <w:p w14:paraId="327E99F0" w14:textId="472D471C" w:rsidR="00413C87" w:rsidRDefault="00552C7D" w:rsidP="47626E9A">
      <w:pPr>
        <w:rPr>
          <w:rFonts w:eastAsia="Times New Roman"/>
          <w:szCs w:val="24"/>
        </w:rPr>
      </w:pPr>
      <w:r>
        <w:rPr>
          <w:rFonts w:eastAsia="Times New Roman"/>
          <w:szCs w:val="24"/>
        </w:rPr>
        <w:lastRenderedPageBreak/>
        <w:t>While this region is far too large to be incorporated into a single municipality</w:t>
      </w:r>
      <w:r w:rsidR="00B6278E">
        <w:rPr>
          <w:rFonts w:eastAsia="Times New Roman"/>
          <w:szCs w:val="24"/>
        </w:rPr>
        <w:t>, the populations nonetheless have a great deal of shared experiences and challenges</w:t>
      </w:r>
      <w:r w:rsidR="00413C87">
        <w:rPr>
          <w:rFonts w:eastAsia="Times New Roman"/>
          <w:szCs w:val="24"/>
        </w:rPr>
        <w:t>.</w:t>
      </w:r>
      <w:r w:rsidR="00D05172">
        <w:rPr>
          <w:rFonts w:eastAsia="Times New Roman"/>
          <w:szCs w:val="24"/>
        </w:rPr>
        <w:t xml:space="preserve"> </w:t>
      </w:r>
      <w:r w:rsidR="007F0D36">
        <w:rPr>
          <w:rFonts w:eastAsia="Times New Roman"/>
          <w:szCs w:val="24"/>
        </w:rPr>
        <w:t>While only 3</w:t>
      </w:r>
      <w:r w:rsidR="005335FD">
        <w:rPr>
          <w:rFonts w:eastAsia="Times New Roman"/>
          <w:szCs w:val="24"/>
        </w:rPr>
        <w:t xml:space="preserve">% of residents commute to a different </w:t>
      </w:r>
      <w:r w:rsidR="00CF1F1C">
        <w:rPr>
          <w:rFonts w:eastAsia="Times New Roman"/>
          <w:szCs w:val="24"/>
        </w:rPr>
        <w:t>region</w:t>
      </w:r>
      <w:r w:rsidR="005335FD">
        <w:rPr>
          <w:rFonts w:eastAsia="Times New Roman"/>
          <w:szCs w:val="24"/>
        </w:rPr>
        <w:t xml:space="preserve"> for work</w:t>
      </w:r>
      <w:r w:rsidR="00790F0F">
        <w:rPr>
          <w:rFonts w:eastAsia="Times New Roman"/>
          <w:szCs w:val="24"/>
        </w:rPr>
        <w:t xml:space="preserve"> </w:t>
      </w:r>
      <w:r w:rsidR="00821215">
        <w:rPr>
          <w:rFonts w:eastAsia="Times New Roman"/>
          <w:szCs w:val="24"/>
        </w:rPr>
        <w:t>and</w:t>
      </w:r>
      <w:r w:rsidR="00A622F8">
        <w:rPr>
          <w:rFonts w:eastAsia="Times New Roman"/>
          <w:szCs w:val="24"/>
        </w:rPr>
        <w:t xml:space="preserve"> 34% </w:t>
      </w:r>
      <w:r w:rsidR="00790F0F">
        <w:rPr>
          <w:rFonts w:eastAsia="Times New Roman"/>
          <w:szCs w:val="24"/>
        </w:rPr>
        <w:t>work within their own community</w:t>
      </w:r>
      <w:r w:rsidR="00C65D8B">
        <w:rPr>
          <w:rFonts w:eastAsia="Times New Roman"/>
          <w:szCs w:val="24"/>
        </w:rPr>
        <w:t>,</w:t>
      </w:r>
      <w:r w:rsidR="00821215">
        <w:rPr>
          <w:rFonts w:eastAsia="Times New Roman"/>
          <w:szCs w:val="24"/>
        </w:rPr>
        <w:t xml:space="preserve"> </w:t>
      </w:r>
      <w:r w:rsidR="005335FD">
        <w:rPr>
          <w:rFonts w:eastAsia="Times New Roman"/>
          <w:szCs w:val="24"/>
        </w:rPr>
        <w:t xml:space="preserve">a staggering </w:t>
      </w:r>
      <w:r w:rsidR="00790F0F">
        <w:rPr>
          <w:rFonts w:eastAsia="Times New Roman"/>
          <w:szCs w:val="24"/>
        </w:rPr>
        <w:t>58% of residents commute to a different community within RSD 2</w:t>
      </w:r>
      <w:r w:rsidR="00CF1F1C">
        <w:rPr>
          <w:rFonts w:eastAsia="Times New Roman"/>
          <w:szCs w:val="24"/>
        </w:rPr>
        <w:t>, indi</w:t>
      </w:r>
      <w:r w:rsidR="002F2119">
        <w:rPr>
          <w:rFonts w:eastAsia="Times New Roman"/>
          <w:szCs w:val="24"/>
        </w:rPr>
        <w:t>cating</w:t>
      </w:r>
      <w:r w:rsidR="00CF1F1C">
        <w:rPr>
          <w:rFonts w:eastAsia="Times New Roman"/>
          <w:szCs w:val="24"/>
        </w:rPr>
        <w:t xml:space="preserve"> a remarkable </w:t>
      </w:r>
      <w:r w:rsidR="008D4F96">
        <w:rPr>
          <w:rFonts w:eastAsia="Times New Roman"/>
          <w:szCs w:val="24"/>
        </w:rPr>
        <w:t xml:space="preserve">level of economic interdependence. </w:t>
      </w:r>
      <w:r w:rsidR="00DA2D60">
        <w:rPr>
          <w:rFonts w:eastAsia="Times New Roman"/>
          <w:szCs w:val="24"/>
        </w:rPr>
        <w:t xml:space="preserve">Despite the presence of the </w:t>
      </w:r>
      <w:proofErr w:type="spellStart"/>
      <w:r w:rsidR="00DA2D60">
        <w:rPr>
          <w:rFonts w:eastAsia="Times New Roman"/>
          <w:szCs w:val="24"/>
        </w:rPr>
        <w:t>Belledune</w:t>
      </w:r>
      <w:proofErr w:type="spellEnd"/>
      <w:r w:rsidR="00DA2D60">
        <w:rPr>
          <w:rFonts w:eastAsia="Times New Roman"/>
          <w:szCs w:val="24"/>
        </w:rPr>
        <w:t xml:space="preserve"> power generation station, </w:t>
      </w:r>
      <w:r w:rsidR="00FB7FB0">
        <w:rPr>
          <w:rFonts w:eastAsia="Times New Roman"/>
          <w:szCs w:val="24"/>
        </w:rPr>
        <w:t>5</w:t>
      </w:r>
      <w:r w:rsidR="00F74AAF">
        <w:rPr>
          <w:rFonts w:eastAsia="Times New Roman"/>
          <w:szCs w:val="24"/>
        </w:rPr>
        <w:t>0</w:t>
      </w:r>
      <w:r w:rsidR="00FB7FB0">
        <w:rPr>
          <w:rFonts w:eastAsia="Times New Roman"/>
          <w:szCs w:val="24"/>
        </w:rPr>
        <w:t xml:space="preserve">% of the area’s labour force still commutes to a different </w:t>
      </w:r>
      <w:r w:rsidR="00F74AAF">
        <w:rPr>
          <w:rFonts w:eastAsia="Times New Roman"/>
          <w:szCs w:val="24"/>
        </w:rPr>
        <w:t xml:space="preserve">part of the RSD for work. </w:t>
      </w:r>
    </w:p>
    <w:p w14:paraId="7C9A5D6E" w14:textId="1653E21D" w:rsidR="47626E9A" w:rsidRDefault="47626E9A" w:rsidP="47626E9A">
      <w:pPr>
        <w:rPr>
          <w:rFonts w:eastAsia="Times New Roman"/>
        </w:rPr>
      </w:pPr>
      <w:r w:rsidRPr="47626E9A">
        <w:rPr>
          <w:rFonts w:eastAsia="Times New Roman"/>
          <w:szCs w:val="24"/>
        </w:rPr>
        <w:t xml:space="preserve">Given that in LSDs most of these services are provided by the province, in transitioning to the new framework a few exceptions need to be addressed. While the responsibility for roads typically falls under the mandate of municipalities, the vast stretches of rural regional road placed under the jurisdiction of the 53 new municipal entities would potentially undermine their financial independence. Accordingly, while the incorporation of the </w:t>
      </w:r>
      <w:r w:rsidR="005C43B6">
        <w:rPr>
          <w:szCs w:val="24"/>
        </w:rPr>
        <w:t xml:space="preserve">Lorne, </w:t>
      </w:r>
      <w:proofErr w:type="spellStart"/>
      <w:r w:rsidR="005C43B6">
        <w:rPr>
          <w:szCs w:val="24"/>
        </w:rPr>
        <w:t>Colbourne</w:t>
      </w:r>
      <w:proofErr w:type="spellEnd"/>
      <w:r w:rsidR="005C43B6">
        <w:rPr>
          <w:szCs w:val="24"/>
        </w:rPr>
        <w:t xml:space="preserve">, and Durham </w:t>
      </w:r>
      <w:r w:rsidRPr="47626E9A">
        <w:rPr>
          <w:rFonts w:eastAsia="Times New Roman"/>
          <w:szCs w:val="24"/>
        </w:rPr>
        <w:t xml:space="preserve">LSDs would bring </w:t>
      </w:r>
      <w:r w:rsidR="00B315C5">
        <w:rPr>
          <w:rFonts w:eastAsia="Times New Roman"/>
          <w:szCs w:val="24"/>
        </w:rPr>
        <w:t>4</w:t>
      </w:r>
      <w:r w:rsidR="00254350">
        <w:rPr>
          <w:rFonts w:eastAsia="Times New Roman"/>
          <w:szCs w:val="24"/>
        </w:rPr>
        <w:t>0</w:t>
      </w:r>
      <w:r w:rsidRPr="47626E9A">
        <w:rPr>
          <w:rFonts w:eastAsia="Times New Roman"/>
          <w:szCs w:val="24"/>
        </w:rPr>
        <w:t xml:space="preserve"> kms of roads which were previously cared for by the province under the </w:t>
      </w:r>
      <w:r w:rsidR="008D5897" w:rsidRPr="47626E9A">
        <w:rPr>
          <w:rFonts w:eastAsia="Times New Roman"/>
          <w:szCs w:val="24"/>
        </w:rPr>
        <w:t>jurisdiction</w:t>
      </w:r>
      <w:r w:rsidRPr="47626E9A">
        <w:rPr>
          <w:rFonts w:eastAsia="Times New Roman"/>
          <w:szCs w:val="24"/>
        </w:rPr>
        <w:t xml:space="preserve"> of Entity </w:t>
      </w:r>
      <w:r w:rsidR="001D7EE0">
        <w:rPr>
          <w:rFonts w:eastAsia="Times New Roman"/>
          <w:szCs w:val="24"/>
        </w:rPr>
        <w:t>9</w:t>
      </w:r>
      <w:r w:rsidRPr="47626E9A">
        <w:rPr>
          <w:rFonts w:eastAsia="Times New Roman"/>
          <w:szCs w:val="24"/>
        </w:rPr>
        <w:t xml:space="preserve">, only roads classified as local will be cared for by the municipality. Accordingly, the </w:t>
      </w:r>
      <w:r w:rsidR="00254350">
        <w:rPr>
          <w:rFonts w:eastAsia="Times New Roman"/>
          <w:szCs w:val="24"/>
        </w:rPr>
        <w:t>4</w:t>
      </w:r>
      <w:r w:rsidRPr="47626E9A">
        <w:rPr>
          <w:rFonts w:eastAsia="Times New Roman"/>
          <w:szCs w:val="24"/>
        </w:rPr>
        <w:t xml:space="preserve"> kms of regional roads would remain the responsibility of the province while Entity </w:t>
      </w:r>
      <w:r w:rsidR="000F3A0C">
        <w:rPr>
          <w:rFonts w:eastAsia="Times New Roman"/>
          <w:szCs w:val="24"/>
        </w:rPr>
        <w:t>9</w:t>
      </w:r>
      <w:r w:rsidRPr="47626E9A">
        <w:rPr>
          <w:rFonts w:eastAsia="Times New Roman"/>
          <w:szCs w:val="24"/>
        </w:rPr>
        <w:t xml:space="preserve"> would assume control of the </w:t>
      </w:r>
      <w:r w:rsidR="00254350">
        <w:rPr>
          <w:rFonts w:eastAsia="Times New Roman"/>
          <w:szCs w:val="24"/>
        </w:rPr>
        <w:t>36</w:t>
      </w:r>
      <w:r w:rsidRPr="47626E9A">
        <w:rPr>
          <w:rFonts w:eastAsia="Times New Roman"/>
          <w:szCs w:val="24"/>
        </w:rPr>
        <w:t xml:space="preserve"> kms of local roads. </w:t>
      </w:r>
    </w:p>
    <w:p w14:paraId="3B053D8E" w14:textId="72707173" w:rsidR="47626E9A" w:rsidRDefault="47626E9A" w:rsidP="47626E9A">
      <w:pPr>
        <w:rPr>
          <w:rFonts w:eastAsia="Times New Roman"/>
          <w:szCs w:val="24"/>
        </w:rPr>
      </w:pPr>
      <w:r w:rsidRPr="47626E9A">
        <w:rPr>
          <w:rFonts w:eastAsia="Times New Roman"/>
          <w:szCs w:val="24"/>
        </w:rPr>
        <w:t xml:space="preserve">Overall, however, the new framework would clarify the distinction between municipal and provincial responsibilities. While today the service provision of roads, animal control, and policing is dependent on whether or not you live in an incorporated or unincorporated local governance entity, in the new framework, all of these services will be provided by the municipal government. When the residents know exactly who is accountable for what, services will improve. </w:t>
      </w:r>
    </w:p>
    <w:p w14:paraId="294AB91D" w14:textId="50109AEC" w:rsidR="47626E9A" w:rsidRPr="008E5925" w:rsidRDefault="47626E9A" w:rsidP="008E5925">
      <w:pPr>
        <w:rPr>
          <w:rFonts w:eastAsia="Times New Roman"/>
          <w:b/>
          <w:bCs/>
          <w:szCs w:val="24"/>
        </w:rPr>
      </w:pPr>
      <w:r w:rsidRPr="008E5925">
        <w:rPr>
          <w:rFonts w:eastAsia="Times New Roman"/>
          <w:b/>
          <w:bCs/>
          <w:szCs w:val="24"/>
        </w:rPr>
        <w:t>Summation</w:t>
      </w:r>
    </w:p>
    <w:p w14:paraId="2C0925F5" w14:textId="5E04ED4F" w:rsidR="47626E9A" w:rsidRDefault="47626E9A" w:rsidP="47626E9A">
      <w:pPr>
        <w:rPr>
          <w:rFonts w:eastAsia="Times New Roman"/>
          <w:szCs w:val="24"/>
        </w:rPr>
      </w:pPr>
      <w:r w:rsidRPr="47626E9A">
        <w:rPr>
          <w:rFonts w:eastAsia="Times New Roman"/>
          <w:szCs w:val="24"/>
        </w:rPr>
        <w:t xml:space="preserve">Overall, Entity </w:t>
      </w:r>
      <w:r w:rsidR="00DF66D0">
        <w:rPr>
          <w:rFonts w:eastAsia="Times New Roman"/>
          <w:szCs w:val="24"/>
        </w:rPr>
        <w:t xml:space="preserve">9 </w:t>
      </w:r>
      <w:r w:rsidRPr="47626E9A">
        <w:rPr>
          <w:rFonts w:eastAsia="Times New Roman"/>
          <w:szCs w:val="24"/>
        </w:rPr>
        <w:t xml:space="preserve">would allow all residents of the </w:t>
      </w:r>
      <w:r w:rsidR="00DF66D0">
        <w:rPr>
          <w:rFonts w:eastAsia="Times New Roman"/>
          <w:szCs w:val="24"/>
        </w:rPr>
        <w:t>Belledune</w:t>
      </w:r>
      <w:r w:rsidR="002D4526">
        <w:rPr>
          <w:rFonts w:eastAsia="Times New Roman"/>
          <w:szCs w:val="24"/>
        </w:rPr>
        <w:t xml:space="preserve"> area</w:t>
      </w:r>
      <w:r w:rsidRPr="47626E9A">
        <w:rPr>
          <w:rFonts w:eastAsia="Times New Roman"/>
          <w:szCs w:val="24"/>
        </w:rPr>
        <w:t xml:space="preserve"> to enjoy a comparable level of service in correlation with their level of taxation, to feel represented at a local level and have a real say in how their property tax dollars are being spent, and create a municipal entity that is sustainable enough to navigate the demographic and economic challenges of the 21</w:t>
      </w:r>
      <w:r w:rsidRPr="47626E9A">
        <w:rPr>
          <w:rFonts w:eastAsia="Times New Roman"/>
          <w:szCs w:val="24"/>
          <w:vertAlign w:val="superscript"/>
        </w:rPr>
        <w:t>st</w:t>
      </w:r>
      <w:r w:rsidRPr="47626E9A">
        <w:rPr>
          <w:rFonts w:eastAsia="Times New Roman"/>
          <w:szCs w:val="24"/>
        </w:rPr>
        <w:t xml:space="preserve"> century. </w:t>
      </w:r>
      <w:r w:rsidR="0015469C">
        <w:rPr>
          <w:rFonts w:eastAsia="Times New Roman"/>
          <w:szCs w:val="24"/>
        </w:rPr>
        <w:t xml:space="preserve">However, since 2008 the population of the area has decreased dramatically, falling below the minimum requirement for </w:t>
      </w:r>
      <w:r w:rsidR="00D32BF5">
        <w:rPr>
          <w:rFonts w:eastAsia="Times New Roman"/>
          <w:szCs w:val="24"/>
        </w:rPr>
        <w:t xml:space="preserve">a municipal entity under the proposed framework. </w:t>
      </w:r>
      <w:r w:rsidR="007F4584">
        <w:rPr>
          <w:rFonts w:eastAsia="Times New Roman"/>
          <w:szCs w:val="24"/>
        </w:rPr>
        <w:t xml:space="preserve">The only other proposed entities with populations smaller than 4000 are the island communities of Campobello and Grand Manan, and these exceptions are due to their isolation from other population </w:t>
      </w:r>
      <w:proofErr w:type="spellStart"/>
      <w:r w:rsidR="007F4584">
        <w:rPr>
          <w:rFonts w:eastAsia="Times New Roman"/>
          <w:szCs w:val="24"/>
        </w:rPr>
        <w:t>centres</w:t>
      </w:r>
      <w:proofErr w:type="spellEnd"/>
      <w:r w:rsidR="007F4584">
        <w:rPr>
          <w:rFonts w:eastAsia="Times New Roman"/>
          <w:szCs w:val="24"/>
        </w:rPr>
        <w:t xml:space="preserve">. </w:t>
      </w:r>
      <w:r w:rsidR="00A6655C">
        <w:rPr>
          <w:rFonts w:eastAsia="Times New Roman"/>
          <w:szCs w:val="24"/>
        </w:rPr>
        <w:t xml:space="preserve">Entity 9 would still have a </w:t>
      </w:r>
      <w:r w:rsidR="00F14326">
        <w:rPr>
          <w:rFonts w:eastAsia="Times New Roman"/>
          <w:szCs w:val="24"/>
        </w:rPr>
        <w:t>property assessment base well above the recommended minimum of $200,000,000</w:t>
      </w:r>
      <w:r w:rsidR="00BF0F36">
        <w:rPr>
          <w:rFonts w:eastAsia="Times New Roman"/>
          <w:szCs w:val="24"/>
        </w:rPr>
        <w:t xml:space="preserve"> which is why its assessment base per capita is so much greater than the Group A average, b</w:t>
      </w:r>
      <w:r w:rsidR="00A75FC1">
        <w:rPr>
          <w:rFonts w:eastAsia="Times New Roman"/>
          <w:szCs w:val="24"/>
        </w:rPr>
        <w:t xml:space="preserve">ut such a small population may still be cause enough for a reimagining of the entity’s boundaries. </w:t>
      </w:r>
    </w:p>
    <w:p w14:paraId="1E0083D4" w14:textId="77777777" w:rsidR="007F4584" w:rsidRDefault="007F4584">
      <w:pPr>
        <w:rPr>
          <w:rFonts w:eastAsia="Times New Roman"/>
          <w:szCs w:val="24"/>
        </w:rPr>
      </w:pPr>
    </w:p>
    <w:sectPr w:rsidR="007F4584">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177F6D" w14:textId="77777777" w:rsidR="00CC5169" w:rsidRDefault="00CC5169" w:rsidP="00533253">
      <w:pPr>
        <w:spacing w:after="0" w:line="240" w:lineRule="auto"/>
      </w:pPr>
      <w:r>
        <w:separator/>
      </w:r>
    </w:p>
  </w:endnote>
  <w:endnote w:type="continuationSeparator" w:id="0">
    <w:p w14:paraId="6B8C1689" w14:textId="77777777" w:rsidR="00CC5169" w:rsidRDefault="00CC5169" w:rsidP="00533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0E5CE8" w14:textId="77777777" w:rsidR="00CC5169" w:rsidRDefault="00CC5169" w:rsidP="00533253">
      <w:pPr>
        <w:spacing w:after="0" w:line="240" w:lineRule="auto"/>
      </w:pPr>
      <w:r>
        <w:separator/>
      </w:r>
    </w:p>
  </w:footnote>
  <w:footnote w:type="continuationSeparator" w:id="0">
    <w:p w14:paraId="15F4E008" w14:textId="77777777" w:rsidR="00CC5169" w:rsidRDefault="00CC5169" w:rsidP="00533253">
      <w:pPr>
        <w:spacing w:after="0" w:line="240" w:lineRule="auto"/>
      </w:pPr>
      <w:r>
        <w:continuationSeparator/>
      </w:r>
    </w:p>
  </w:footnote>
  <w:footnote w:id="1">
    <w:p w14:paraId="7CF2A582" w14:textId="77777777" w:rsidR="249DB127" w:rsidRDefault="249DB127" w:rsidP="249DB127">
      <w:pPr>
        <w:pStyle w:val="FootnoteText"/>
        <w:rPr>
          <w:rFonts w:ascii="Times New Roman" w:hAnsi="Times New Roman" w:cs="Times New Roman"/>
        </w:rPr>
      </w:pPr>
      <w:r w:rsidRPr="249DB127">
        <w:rPr>
          <w:rStyle w:val="FootnoteReference"/>
          <w:rFonts w:ascii="Times New Roman" w:hAnsi="Times New Roman" w:cs="Times New Roman"/>
        </w:rPr>
        <w:footnoteRef/>
      </w:r>
      <w:r w:rsidRPr="249DB127">
        <w:rPr>
          <w:rFonts w:ascii="Times New Roman" w:hAnsi="Times New Roman" w:cs="Times New Roman"/>
        </w:rPr>
        <w:t xml:space="preserve"> Finn, 181.</w:t>
      </w:r>
    </w:p>
  </w:footnote>
  <w:footnote w:id="2">
    <w:p w14:paraId="6D31C975" w14:textId="62AA5D90" w:rsidR="249DB127" w:rsidRDefault="249DB127" w:rsidP="249DB127">
      <w:pPr>
        <w:pStyle w:val="FootnoteText"/>
      </w:pPr>
      <w:r w:rsidRPr="249DB127">
        <w:rPr>
          <w:rStyle w:val="FootnoteReference"/>
        </w:rPr>
        <w:footnoteRef/>
      </w:r>
      <w:r>
        <w:t xml:space="preserve"> Finn, 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985C4" w14:textId="21637191" w:rsidR="00497B75" w:rsidRDefault="00497B75">
    <w:pPr>
      <w:pStyle w:val="Header"/>
    </w:pPr>
    <w:r>
      <w:rPr>
        <w:noProof/>
      </w:rPr>
      <w:drawing>
        <wp:anchor distT="0" distB="0" distL="114300" distR="114300" simplePos="0" relativeHeight="251658240" behindDoc="0" locked="0" layoutInCell="1" allowOverlap="1" wp14:anchorId="7F089C1E" wp14:editId="79426435">
          <wp:simplePos x="0" y="0"/>
          <wp:positionH relativeFrom="margin">
            <wp:posOffset>0</wp:posOffset>
          </wp:positionH>
          <wp:positionV relativeFrom="paragraph">
            <wp:posOffset>-457200</wp:posOffset>
          </wp:positionV>
          <wp:extent cx="5943600" cy="873760"/>
          <wp:effectExtent l="0" t="0" r="0" b="2540"/>
          <wp:wrapThrough wrapText="bothSides">
            <wp:wrapPolygon edited="0">
              <wp:start x="0" y="0"/>
              <wp:lineTo x="0" y="21192"/>
              <wp:lineTo x="21531" y="21192"/>
              <wp:lineTo x="21531" y="0"/>
              <wp:lineTo x="0" y="0"/>
            </wp:wrapPolygon>
          </wp:wrapThrough>
          <wp:docPr id="2" name="Picture 2"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873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0778"/>
    <w:multiLevelType w:val="hybridMultilevel"/>
    <w:tmpl w:val="62500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40C7B"/>
    <w:multiLevelType w:val="hybridMultilevel"/>
    <w:tmpl w:val="065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36E5B"/>
    <w:multiLevelType w:val="hybridMultilevel"/>
    <w:tmpl w:val="4490A9C6"/>
    <w:lvl w:ilvl="0" w:tplc="FFFFFFFF">
      <w:start w:val="4"/>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9E0DE8"/>
    <w:multiLevelType w:val="hybridMultilevel"/>
    <w:tmpl w:val="FFFFFFFF"/>
    <w:lvl w:ilvl="0" w:tplc="77186112">
      <w:start w:val="4"/>
      <w:numFmt w:val="upperRoman"/>
      <w:lvlText w:val="%1."/>
      <w:lvlJc w:val="right"/>
      <w:pPr>
        <w:ind w:left="720" w:hanging="360"/>
      </w:pPr>
    </w:lvl>
    <w:lvl w:ilvl="1" w:tplc="6CC6855C">
      <w:start w:val="1"/>
      <w:numFmt w:val="lowerLetter"/>
      <w:lvlText w:val="%2."/>
      <w:lvlJc w:val="left"/>
      <w:pPr>
        <w:ind w:left="1440" w:hanging="360"/>
      </w:pPr>
    </w:lvl>
    <w:lvl w:ilvl="2" w:tplc="9B66144E">
      <w:start w:val="1"/>
      <w:numFmt w:val="lowerRoman"/>
      <w:lvlText w:val="%3."/>
      <w:lvlJc w:val="right"/>
      <w:pPr>
        <w:ind w:left="2160" w:hanging="180"/>
      </w:pPr>
    </w:lvl>
    <w:lvl w:ilvl="3" w:tplc="61BA71E6">
      <w:start w:val="1"/>
      <w:numFmt w:val="decimal"/>
      <w:lvlText w:val="%4."/>
      <w:lvlJc w:val="left"/>
      <w:pPr>
        <w:ind w:left="2880" w:hanging="360"/>
      </w:pPr>
    </w:lvl>
    <w:lvl w:ilvl="4" w:tplc="2752ED40">
      <w:start w:val="1"/>
      <w:numFmt w:val="lowerLetter"/>
      <w:lvlText w:val="%5."/>
      <w:lvlJc w:val="left"/>
      <w:pPr>
        <w:ind w:left="3600" w:hanging="360"/>
      </w:pPr>
    </w:lvl>
    <w:lvl w:ilvl="5" w:tplc="4FEC8AA2">
      <w:start w:val="1"/>
      <w:numFmt w:val="lowerRoman"/>
      <w:lvlText w:val="%6."/>
      <w:lvlJc w:val="right"/>
      <w:pPr>
        <w:ind w:left="4320" w:hanging="180"/>
      </w:pPr>
    </w:lvl>
    <w:lvl w:ilvl="6" w:tplc="CC0ED76A">
      <w:start w:val="1"/>
      <w:numFmt w:val="decimal"/>
      <w:lvlText w:val="%7."/>
      <w:lvlJc w:val="left"/>
      <w:pPr>
        <w:ind w:left="5040" w:hanging="360"/>
      </w:pPr>
    </w:lvl>
    <w:lvl w:ilvl="7" w:tplc="B0D204A8">
      <w:start w:val="1"/>
      <w:numFmt w:val="lowerLetter"/>
      <w:lvlText w:val="%8."/>
      <w:lvlJc w:val="left"/>
      <w:pPr>
        <w:ind w:left="5760" w:hanging="360"/>
      </w:pPr>
    </w:lvl>
    <w:lvl w:ilvl="8" w:tplc="E36EA08A">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FE2"/>
    <w:rsid w:val="00011EC1"/>
    <w:rsid w:val="00012AB1"/>
    <w:rsid w:val="00016D0A"/>
    <w:rsid w:val="000238B0"/>
    <w:rsid w:val="000259AF"/>
    <w:rsid w:val="00025F29"/>
    <w:rsid w:val="0003042E"/>
    <w:rsid w:val="000356BA"/>
    <w:rsid w:val="00036E15"/>
    <w:rsid w:val="0004189C"/>
    <w:rsid w:val="00050419"/>
    <w:rsid w:val="00061B5D"/>
    <w:rsid w:val="0007121F"/>
    <w:rsid w:val="00084A8C"/>
    <w:rsid w:val="00097722"/>
    <w:rsid w:val="000A6251"/>
    <w:rsid w:val="000A7566"/>
    <w:rsid w:val="000B3B59"/>
    <w:rsid w:val="000C30F7"/>
    <w:rsid w:val="000C7E81"/>
    <w:rsid w:val="000E0371"/>
    <w:rsid w:val="000F3A0C"/>
    <w:rsid w:val="00107747"/>
    <w:rsid w:val="00123245"/>
    <w:rsid w:val="0012393A"/>
    <w:rsid w:val="001333B6"/>
    <w:rsid w:val="0013553C"/>
    <w:rsid w:val="00144572"/>
    <w:rsid w:val="0015469C"/>
    <w:rsid w:val="00156AEF"/>
    <w:rsid w:val="001618D5"/>
    <w:rsid w:val="00163993"/>
    <w:rsid w:val="001713C5"/>
    <w:rsid w:val="00182F1D"/>
    <w:rsid w:val="00195492"/>
    <w:rsid w:val="001A0135"/>
    <w:rsid w:val="001A3F59"/>
    <w:rsid w:val="001B0B29"/>
    <w:rsid w:val="001C0BF6"/>
    <w:rsid w:val="001C359A"/>
    <w:rsid w:val="001C5420"/>
    <w:rsid w:val="001D0E93"/>
    <w:rsid w:val="001D0FE3"/>
    <w:rsid w:val="001D7EE0"/>
    <w:rsid w:val="001F0FBB"/>
    <w:rsid w:val="001F35C3"/>
    <w:rsid w:val="001F57F4"/>
    <w:rsid w:val="001F6F3C"/>
    <w:rsid w:val="001F7C93"/>
    <w:rsid w:val="002025E6"/>
    <w:rsid w:val="00203CFE"/>
    <w:rsid w:val="002120AC"/>
    <w:rsid w:val="0021316D"/>
    <w:rsid w:val="00214405"/>
    <w:rsid w:val="00216AEC"/>
    <w:rsid w:val="002271ED"/>
    <w:rsid w:val="002325B6"/>
    <w:rsid w:val="0023283B"/>
    <w:rsid w:val="00242CFD"/>
    <w:rsid w:val="00243632"/>
    <w:rsid w:val="00254350"/>
    <w:rsid w:val="0027002D"/>
    <w:rsid w:val="00281B6F"/>
    <w:rsid w:val="00281E71"/>
    <w:rsid w:val="002821E2"/>
    <w:rsid w:val="00285A3F"/>
    <w:rsid w:val="0028792A"/>
    <w:rsid w:val="00291A6F"/>
    <w:rsid w:val="00296040"/>
    <w:rsid w:val="002A59F7"/>
    <w:rsid w:val="002A66C3"/>
    <w:rsid w:val="002C0580"/>
    <w:rsid w:val="002D4526"/>
    <w:rsid w:val="002E0EF6"/>
    <w:rsid w:val="002F2119"/>
    <w:rsid w:val="002F42D3"/>
    <w:rsid w:val="002F6FA4"/>
    <w:rsid w:val="003152BF"/>
    <w:rsid w:val="00315D17"/>
    <w:rsid w:val="0032204E"/>
    <w:rsid w:val="00331342"/>
    <w:rsid w:val="00333276"/>
    <w:rsid w:val="00340E57"/>
    <w:rsid w:val="00343F5F"/>
    <w:rsid w:val="00344A46"/>
    <w:rsid w:val="00351F4C"/>
    <w:rsid w:val="00353320"/>
    <w:rsid w:val="00354F92"/>
    <w:rsid w:val="00365826"/>
    <w:rsid w:val="00365E92"/>
    <w:rsid w:val="0036789A"/>
    <w:rsid w:val="00386C93"/>
    <w:rsid w:val="003A431A"/>
    <w:rsid w:val="003A4C02"/>
    <w:rsid w:val="003B18DC"/>
    <w:rsid w:val="003B448F"/>
    <w:rsid w:val="003C6C3D"/>
    <w:rsid w:val="003F2CD7"/>
    <w:rsid w:val="003F5F8E"/>
    <w:rsid w:val="00404323"/>
    <w:rsid w:val="00410A7C"/>
    <w:rsid w:val="00413C87"/>
    <w:rsid w:val="00416A76"/>
    <w:rsid w:val="00417737"/>
    <w:rsid w:val="00417F02"/>
    <w:rsid w:val="00420653"/>
    <w:rsid w:val="00424809"/>
    <w:rsid w:val="004271AF"/>
    <w:rsid w:val="00433159"/>
    <w:rsid w:val="004339FE"/>
    <w:rsid w:val="004358AB"/>
    <w:rsid w:val="00436353"/>
    <w:rsid w:val="00441FE2"/>
    <w:rsid w:val="004443C2"/>
    <w:rsid w:val="004461BE"/>
    <w:rsid w:val="004464CE"/>
    <w:rsid w:val="00447790"/>
    <w:rsid w:val="0045117A"/>
    <w:rsid w:val="00456C6D"/>
    <w:rsid w:val="004570D0"/>
    <w:rsid w:val="004570DF"/>
    <w:rsid w:val="0047091C"/>
    <w:rsid w:val="004711F9"/>
    <w:rsid w:val="0047285E"/>
    <w:rsid w:val="00482DBE"/>
    <w:rsid w:val="004832BE"/>
    <w:rsid w:val="004847FF"/>
    <w:rsid w:val="00492DEB"/>
    <w:rsid w:val="00495F46"/>
    <w:rsid w:val="00497B75"/>
    <w:rsid w:val="004B0C32"/>
    <w:rsid w:val="004B618F"/>
    <w:rsid w:val="004C36B5"/>
    <w:rsid w:val="004C7794"/>
    <w:rsid w:val="004D3EFB"/>
    <w:rsid w:val="004D57D8"/>
    <w:rsid w:val="004E48FD"/>
    <w:rsid w:val="004E74B9"/>
    <w:rsid w:val="004F18A7"/>
    <w:rsid w:val="004F4AC5"/>
    <w:rsid w:val="00510189"/>
    <w:rsid w:val="005262CC"/>
    <w:rsid w:val="00533253"/>
    <w:rsid w:val="005335FD"/>
    <w:rsid w:val="005336CE"/>
    <w:rsid w:val="00533AB8"/>
    <w:rsid w:val="00536AD2"/>
    <w:rsid w:val="00540C77"/>
    <w:rsid w:val="005429A8"/>
    <w:rsid w:val="00545006"/>
    <w:rsid w:val="00552C7D"/>
    <w:rsid w:val="00553C6E"/>
    <w:rsid w:val="00554DAB"/>
    <w:rsid w:val="00563976"/>
    <w:rsid w:val="005724E0"/>
    <w:rsid w:val="005831B9"/>
    <w:rsid w:val="0058723C"/>
    <w:rsid w:val="00587D02"/>
    <w:rsid w:val="00593BF0"/>
    <w:rsid w:val="005A2167"/>
    <w:rsid w:val="005A2789"/>
    <w:rsid w:val="005B0633"/>
    <w:rsid w:val="005B0918"/>
    <w:rsid w:val="005B1A0B"/>
    <w:rsid w:val="005B75AC"/>
    <w:rsid w:val="005C3DFC"/>
    <w:rsid w:val="005C43B6"/>
    <w:rsid w:val="005C7D2E"/>
    <w:rsid w:val="005E0C9A"/>
    <w:rsid w:val="005E145E"/>
    <w:rsid w:val="005E55E4"/>
    <w:rsid w:val="005F1447"/>
    <w:rsid w:val="005F24A5"/>
    <w:rsid w:val="005F4057"/>
    <w:rsid w:val="006076DA"/>
    <w:rsid w:val="00610721"/>
    <w:rsid w:val="00617A63"/>
    <w:rsid w:val="00622D48"/>
    <w:rsid w:val="00626347"/>
    <w:rsid w:val="00631D13"/>
    <w:rsid w:val="00641733"/>
    <w:rsid w:val="00641FCF"/>
    <w:rsid w:val="006551B6"/>
    <w:rsid w:val="0065534D"/>
    <w:rsid w:val="00666D8A"/>
    <w:rsid w:val="00670E6D"/>
    <w:rsid w:val="00671D38"/>
    <w:rsid w:val="00677F07"/>
    <w:rsid w:val="00680EEB"/>
    <w:rsid w:val="00681B61"/>
    <w:rsid w:val="00681C2B"/>
    <w:rsid w:val="0068273C"/>
    <w:rsid w:val="00697AEA"/>
    <w:rsid w:val="006B0D30"/>
    <w:rsid w:val="006C2F31"/>
    <w:rsid w:val="006D3480"/>
    <w:rsid w:val="006D469B"/>
    <w:rsid w:val="006D6CC8"/>
    <w:rsid w:val="006D79E7"/>
    <w:rsid w:val="006E13F5"/>
    <w:rsid w:val="006F5B06"/>
    <w:rsid w:val="00705490"/>
    <w:rsid w:val="007105CA"/>
    <w:rsid w:val="00714BE0"/>
    <w:rsid w:val="00715B3D"/>
    <w:rsid w:val="007218E7"/>
    <w:rsid w:val="00722834"/>
    <w:rsid w:val="007266D3"/>
    <w:rsid w:val="00733139"/>
    <w:rsid w:val="00737C46"/>
    <w:rsid w:val="00745B31"/>
    <w:rsid w:val="007540B3"/>
    <w:rsid w:val="00755D2B"/>
    <w:rsid w:val="0075617E"/>
    <w:rsid w:val="00761CCB"/>
    <w:rsid w:val="00765957"/>
    <w:rsid w:val="00766F91"/>
    <w:rsid w:val="00767704"/>
    <w:rsid w:val="00770EF9"/>
    <w:rsid w:val="00774628"/>
    <w:rsid w:val="00784B4D"/>
    <w:rsid w:val="007864C8"/>
    <w:rsid w:val="007870B9"/>
    <w:rsid w:val="0079085C"/>
    <w:rsid w:val="00790F0F"/>
    <w:rsid w:val="007949DB"/>
    <w:rsid w:val="007A1D6F"/>
    <w:rsid w:val="007B6555"/>
    <w:rsid w:val="007C3850"/>
    <w:rsid w:val="007C3C5E"/>
    <w:rsid w:val="007C7EF4"/>
    <w:rsid w:val="007E140A"/>
    <w:rsid w:val="007E744A"/>
    <w:rsid w:val="007F0D36"/>
    <w:rsid w:val="007F4584"/>
    <w:rsid w:val="007F5DC8"/>
    <w:rsid w:val="008000A4"/>
    <w:rsid w:val="0080158C"/>
    <w:rsid w:val="00803E89"/>
    <w:rsid w:val="00812B97"/>
    <w:rsid w:val="00821215"/>
    <w:rsid w:val="00825A2E"/>
    <w:rsid w:val="00826FF4"/>
    <w:rsid w:val="00834815"/>
    <w:rsid w:val="00835E77"/>
    <w:rsid w:val="008369AC"/>
    <w:rsid w:val="00840403"/>
    <w:rsid w:val="00842249"/>
    <w:rsid w:val="008510DE"/>
    <w:rsid w:val="00852005"/>
    <w:rsid w:val="00853E3A"/>
    <w:rsid w:val="00855D67"/>
    <w:rsid w:val="00872051"/>
    <w:rsid w:val="00880DC2"/>
    <w:rsid w:val="00886CC5"/>
    <w:rsid w:val="0089003C"/>
    <w:rsid w:val="008A1775"/>
    <w:rsid w:val="008A3666"/>
    <w:rsid w:val="008A3772"/>
    <w:rsid w:val="008B3CB3"/>
    <w:rsid w:val="008C082C"/>
    <w:rsid w:val="008C5776"/>
    <w:rsid w:val="008D30B7"/>
    <w:rsid w:val="008D4F96"/>
    <w:rsid w:val="008D5897"/>
    <w:rsid w:val="008D7001"/>
    <w:rsid w:val="008E1994"/>
    <w:rsid w:val="008E5925"/>
    <w:rsid w:val="009057C0"/>
    <w:rsid w:val="00910DAD"/>
    <w:rsid w:val="009113A3"/>
    <w:rsid w:val="00930141"/>
    <w:rsid w:val="00930723"/>
    <w:rsid w:val="00937062"/>
    <w:rsid w:val="00967B26"/>
    <w:rsid w:val="00973562"/>
    <w:rsid w:val="009749E0"/>
    <w:rsid w:val="00975BA7"/>
    <w:rsid w:val="00980CE5"/>
    <w:rsid w:val="0098297F"/>
    <w:rsid w:val="00993AFC"/>
    <w:rsid w:val="009A458A"/>
    <w:rsid w:val="009B1567"/>
    <w:rsid w:val="009B409A"/>
    <w:rsid w:val="009C3F94"/>
    <w:rsid w:val="009C400F"/>
    <w:rsid w:val="009C610A"/>
    <w:rsid w:val="009D3B76"/>
    <w:rsid w:val="009D4A79"/>
    <w:rsid w:val="009D67E8"/>
    <w:rsid w:val="009E008A"/>
    <w:rsid w:val="009E0814"/>
    <w:rsid w:val="009E27E2"/>
    <w:rsid w:val="009F4A5B"/>
    <w:rsid w:val="009F520A"/>
    <w:rsid w:val="009F68D9"/>
    <w:rsid w:val="00A02383"/>
    <w:rsid w:val="00A03051"/>
    <w:rsid w:val="00A04221"/>
    <w:rsid w:val="00A04A0D"/>
    <w:rsid w:val="00A20D5A"/>
    <w:rsid w:val="00A2406E"/>
    <w:rsid w:val="00A25514"/>
    <w:rsid w:val="00A26BCF"/>
    <w:rsid w:val="00A347BD"/>
    <w:rsid w:val="00A36538"/>
    <w:rsid w:val="00A47131"/>
    <w:rsid w:val="00A622F8"/>
    <w:rsid w:val="00A656D7"/>
    <w:rsid w:val="00A66519"/>
    <w:rsid w:val="00A6655C"/>
    <w:rsid w:val="00A668DA"/>
    <w:rsid w:val="00A75FC1"/>
    <w:rsid w:val="00A76976"/>
    <w:rsid w:val="00A8263D"/>
    <w:rsid w:val="00A83951"/>
    <w:rsid w:val="00A85CFF"/>
    <w:rsid w:val="00A92519"/>
    <w:rsid w:val="00A97482"/>
    <w:rsid w:val="00AA1DDD"/>
    <w:rsid w:val="00AA5A47"/>
    <w:rsid w:val="00AA6183"/>
    <w:rsid w:val="00AB4070"/>
    <w:rsid w:val="00AB64B7"/>
    <w:rsid w:val="00AC341A"/>
    <w:rsid w:val="00AD6300"/>
    <w:rsid w:val="00AE3CB9"/>
    <w:rsid w:val="00AE493B"/>
    <w:rsid w:val="00AF6180"/>
    <w:rsid w:val="00B00DE4"/>
    <w:rsid w:val="00B04E40"/>
    <w:rsid w:val="00B04E8A"/>
    <w:rsid w:val="00B1630A"/>
    <w:rsid w:val="00B23CED"/>
    <w:rsid w:val="00B2583B"/>
    <w:rsid w:val="00B315C5"/>
    <w:rsid w:val="00B3507E"/>
    <w:rsid w:val="00B35125"/>
    <w:rsid w:val="00B45B1A"/>
    <w:rsid w:val="00B47C67"/>
    <w:rsid w:val="00B50627"/>
    <w:rsid w:val="00B51104"/>
    <w:rsid w:val="00B57FE0"/>
    <w:rsid w:val="00B6278E"/>
    <w:rsid w:val="00B67D54"/>
    <w:rsid w:val="00B72F6F"/>
    <w:rsid w:val="00B87C75"/>
    <w:rsid w:val="00B908A9"/>
    <w:rsid w:val="00B92E93"/>
    <w:rsid w:val="00B94F9A"/>
    <w:rsid w:val="00B95616"/>
    <w:rsid w:val="00B97577"/>
    <w:rsid w:val="00BA10DF"/>
    <w:rsid w:val="00BA1272"/>
    <w:rsid w:val="00BB3750"/>
    <w:rsid w:val="00BB70AE"/>
    <w:rsid w:val="00BC093F"/>
    <w:rsid w:val="00BC277B"/>
    <w:rsid w:val="00BD1921"/>
    <w:rsid w:val="00BD43CC"/>
    <w:rsid w:val="00BE1438"/>
    <w:rsid w:val="00BE364F"/>
    <w:rsid w:val="00BE3C41"/>
    <w:rsid w:val="00BE42B4"/>
    <w:rsid w:val="00BE604A"/>
    <w:rsid w:val="00BF0F36"/>
    <w:rsid w:val="00BF7E3F"/>
    <w:rsid w:val="00C06DB3"/>
    <w:rsid w:val="00C07FD6"/>
    <w:rsid w:val="00C109BA"/>
    <w:rsid w:val="00C132BD"/>
    <w:rsid w:val="00C1791A"/>
    <w:rsid w:val="00C23179"/>
    <w:rsid w:val="00C23508"/>
    <w:rsid w:val="00C52D0C"/>
    <w:rsid w:val="00C65D8B"/>
    <w:rsid w:val="00C77333"/>
    <w:rsid w:val="00C942CD"/>
    <w:rsid w:val="00C96C0B"/>
    <w:rsid w:val="00CA3C0E"/>
    <w:rsid w:val="00CA5586"/>
    <w:rsid w:val="00CA7412"/>
    <w:rsid w:val="00CB6834"/>
    <w:rsid w:val="00CC3095"/>
    <w:rsid w:val="00CC409F"/>
    <w:rsid w:val="00CC4CA8"/>
    <w:rsid w:val="00CC5169"/>
    <w:rsid w:val="00CC7237"/>
    <w:rsid w:val="00CD12F5"/>
    <w:rsid w:val="00CE32CD"/>
    <w:rsid w:val="00CE7A05"/>
    <w:rsid w:val="00CF02AF"/>
    <w:rsid w:val="00CF1F1C"/>
    <w:rsid w:val="00CF3518"/>
    <w:rsid w:val="00D039EA"/>
    <w:rsid w:val="00D05172"/>
    <w:rsid w:val="00D17292"/>
    <w:rsid w:val="00D21261"/>
    <w:rsid w:val="00D2549C"/>
    <w:rsid w:val="00D27FE3"/>
    <w:rsid w:val="00D30B7F"/>
    <w:rsid w:val="00D30F51"/>
    <w:rsid w:val="00D31C6B"/>
    <w:rsid w:val="00D32BF5"/>
    <w:rsid w:val="00D3691A"/>
    <w:rsid w:val="00D36A09"/>
    <w:rsid w:val="00D41B70"/>
    <w:rsid w:val="00D459CC"/>
    <w:rsid w:val="00D503EA"/>
    <w:rsid w:val="00D5651B"/>
    <w:rsid w:val="00D804CC"/>
    <w:rsid w:val="00D87F73"/>
    <w:rsid w:val="00D94D4B"/>
    <w:rsid w:val="00DA2D60"/>
    <w:rsid w:val="00DA6D14"/>
    <w:rsid w:val="00DB11A2"/>
    <w:rsid w:val="00DB4886"/>
    <w:rsid w:val="00DD457E"/>
    <w:rsid w:val="00DD6077"/>
    <w:rsid w:val="00DD6701"/>
    <w:rsid w:val="00DE71DC"/>
    <w:rsid w:val="00DF1A30"/>
    <w:rsid w:val="00DF39F7"/>
    <w:rsid w:val="00DF66D0"/>
    <w:rsid w:val="00E0218D"/>
    <w:rsid w:val="00E1004A"/>
    <w:rsid w:val="00E308F4"/>
    <w:rsid w:val="00E30DC8"/>
    <w:rsid w:val="00E31B1B"/>
    <w:rsid w:val="00E33A22"/>
    <w:rsid w:val="00E41968"/>
    <w:rsid w:val="00E44DC0"/>
    <w:rsid w:val="00E55335"/>
    <w:rsid w:val="00E561B3"/>
    <w:rsid w:val="00E5681A"/>
    <w:rsid w:val="00E91E4B"/>
    <w:rsid w:val="00EA0382"/>
    <w:rsid w:val="00EA4B85"/>
    <w:rsid w:val="00EB0362"/>
    <w:rsid w:val="00EC02C5"/>
    <w:rsid w:val="00EC0D34"/>
    <w:rsid w:val="00EC71A3"/>
    <w:rsid w:val="00EC791F"/>
    <w:rsid w:val="00EC7D9F"/>
    <w:rsid w:val="00ED0A6C"/>
    <w:rsid w:val="00EE0A12"/>
    <w:rsid w:val="00EE1061"/>
    <w:rsid w:val="00EF3305"/>
    <w:rsid w:val="00EF5116"/>
    <w:rsid w:val="00F14326"/>
    <w:rsid w:val="00F14B01"/>
    <w:rsid w:val="00F14E6D"/>
    <w:rsid w:val="00F1725F"/>
    <w:rsid w:val="00F32FFB"/>
    <w:rsid w:val="00F33578"/>
    <w:rsid w:val="00F344C7"/>
    <w:rsid w:val="00F4188B"/>
    <w:rsid w:val="00F43A14"/>
    <w:rsid w:val="00F44896"/>
    <w:rsid w:val="00F44A5F"/>
    <w:rsid w:val="00F567EC"/>
    <w:rsid w:val="00F601D1"/>
    <w:rsid w:val="00F622A7"/>
    <w:rsid w:val="00F63306"/>
    <w:rsid w:val="00F64E85"/>
    <w:rsid w:val="00F6557B"/>
    <w:rsid w:val="00F7126C"/>
    <w:rsid w:val="00F738DC"/>
    <w:rsid w:val="00F74AAF"/>
    <w:rsid w:val="00F7536C"/>
    <w:rsid w:val="00F76586"/>
    <w:rsid w:val="00F77D1F"/>
    <w:rsid w:val="00F86728"/>
    <w:rsid w:val="00F92DD1"/>
    <w:rsid w:val="00FB2933"/>
    <w:rsid w:val="00FB7FB0"/>
    <w:rsid w:val="00FC404B"/>
    <w:rsid w:val="00FC5436"/>
    <w:rsid w:val="00FC5FDF"/>
    <w:rsid w:val="00FD54A3"/>
    <w:rsid w:val="00FD597E"/>
    <w:rsid w:val="00FE1FDB"/>
    <w:rsid w:val="00FE344B"/>
    <w:rsid w:val="00FE5E2A"/>
    <w:rsid w:val="00FE6560"/>
    <w:rsid w:val="00FF076A"/>
    <w:rsid w:val="08B4B71E"/>
    <w:rsid w:val="249DB127"/>
    <w:rsid w:val="438E8491"/>
    <w:rsid w:val="47626E9A"/>
    <w:rsid w:val="524E733E"/>
    <w:rsid w:val="73755E9A"/>
    <w:rsid w:val="747E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D74978C"/>
  <w15:chartTrackingRefBased/>
  <w15:docId w15:val="{A72AEF27-246B-4413-B481-F0682487F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3325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53325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33253"/>
    <w:rPr>
      <w:vertAlign w:val="superscript"/>
    </w:rPr>
  </w:style>
  <w:style w:type="paragraph" w:styleId="ListParagraph">
    <w:name w:val="List Paragraph"/>
    <w:basedOn w:val="Normal"/>
    <w:uiPriority w:val="34"/>
    <w:qFormat/>
    <w:rsid w:val="00A20D5A"/>
    <w:pPr>
      <w:ind w:left="720"/>
      <w:contextualSpacing/>
    </w:pPr>
  </w:style>
  <w:style w:type="paragraph" w:styleId="Header">
    <w:name w:val="header"/>
    <w:basedOn w:val="Normal"/>
    <w:link w:val="HeaderChar"/>
    <w:uiPriority w:val="99"/>
    <w:unhideWhenUsed/>
    <w:rsid w:val="00497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75"/>
  </w:style>
  <w:style w:type="paragraph" w:styleId="Footer">
    <w:name w:val="footer"/>
    <w:basedOn w:val="Normal"/>
    <w:link w:val="FooterChar"/>
    <w:uiPriority w:val="99"/>
    <w:unhideWhenUsed/>
    <w:rsid w:val="0049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75"/>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25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5A2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4631603">
      <w:bodyDiv w:val="1"/>
      <w:marLeft w:val="0"/>
      <w:marRight w:val="0"/>
      <w:marTop w:val="0"/>
      <w:marBottom w:val="0"/>
      <w:divBdr>
        <w:top w:val="none" w:sz="0" w:space="0" w:color="auto"/>
        <w:left w:val="none" w:sz="0" w:space="0" w:color="auto"/>
        <w:bottom w:val="none" w:sz="0" w:space="0" w:color="auto"/>
        <w:right w:val="none" w:sz="0" w:space="0" w:color="auto"/>
      </w:divBdr>
    </w:div>
    <w:div w:id="616062165">
      <w:bodyDiv w:val="1"/>
      <w:marLeft w:val="0"/>
      <w:marRight w:val="0"/>
      <w:marTop w:val="0"/>
      <w:marBottom w:val="0"/>
      <w:divBdr>
        <w:top w:val="none" w:sz="0" w:space="0" w:color="auto"/>
        <w:left w:val="none" w:sz="0" w:space="0" w:color="auto"/>
        <w:bottom w:val="none" w:sz="0" w:space="0" w:color="auto"/>
        <w:right w:val="none" w:sz="0" w:space="0" w:color="auto"/>
      </w:divBdr>
    </w:div>
    <w:div w:id="1466699600">
      <w:bodyDiv w:val="1"/>
      <w:marLeft w:val="0"/>
      <w:marRight w:val="0"/>
      <w:marTop w:val="0"/>
      <w:marBottom w:val="0"/>
      <w:divBdr>
        <w:top w:val="none" w:sz="0" w:space="0" w:color="auto"/>
        <w:left w:val="none" w:sz="0" w:space="0" w:color="auto"/>
        <w:bottom w:val="none" w:sz="0" w:space="0" w:color="auto"/>
        <w:right w:val="none" w:sz="0" w:space="0" w:color="auto"/>
      </w:divBdr>
    </w:div>
    <w:div w:id="1533302888">
      <w:bodyDiv w:val="1"/>
      <w:marLeft w:val="0"/>
      <w:marRight w:val="0"/>
      <w:marTop w:val="0"/>
      <w:marBottom w:val="0"/>
      <w:divBdr>
        <w:top w:val="none" w:sz="0" w:space="0" w:color="auto"/>
        <w:left w:val="none" w:sz="0" w:space="0" w:color="auto"/>
        <w:bottom w:val="none" w:sz="0" w:space="0" w:color="auto"/>
        <w:right w:val="none" w:sz="0" w:space="0" w:color="auto"/>
      </w:divBdr>
    </w:div>
    <w:div w:id="1872523405">
      <w:bodyDiv w:val="1"/>
      <w:marLeft w:val="0"/>
      <w:marRight w:val="0"/>
      <w:marTop w:val="0"/>
      <w:marBottom w:val="0"/>
      <w:divBdr>
        <w:top w:val="none" w:sz="0" w:space="0" w:color="auto"/>
        <w:left w:val="none" w:sz="0" w:space="0" w:color="auto"/>
        <w:bottom w:val="none" w:sz="0" w:space="0" w:color="auto"/>
        <w:right w:val="none" w:sz="0" w:space="0" w:color="auto"/>
      </w:divBdr>
    </w:div>
    <w:div w:id="1916209716">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A6B95B-7F0C-4981-935C-709C1D006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4</Pages>
  <Words>1557</Words>
  <Characters>8880</Characters>
  <Application>Microsoft Office Word</Application>
  <DocSecurity>0</DocSecurity>
  <Lines>74</Lines>
  <Paragraphs>20</Paragraphs>
  <ScaleCrop>false</ScaleCrop>
  <Company/>
  <LinksUpToDate>false</LinksUpToDate>
  <CharactersWithSpaces>10417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Taylor</dc:creator>
  <cp:keywords/>
  <dc:description/>
  <cp:lastModifiedBy>Jon Taylor</cp:lastModifiedBy>
  <cp:revision>96</cp:revision>
  <dcterms:created xsi:type="dcterms:W3CDTF">2020-03-23T12:15:00Z</dcterms:created>
  <dcterms:modified xsi:type="dcterms:W3CDTF">2020-05-29T18:48:00Z</dcterms:modified>
</cp:coreProperties>
</file>